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532" w:rsidRPr="00AD1B6B" w:rsidRDefault="00226532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 w:rsidRPr="00AD1B6B">
        <w:rPr>
          <w:rFonts w:cstheme="minorHAnsi"/>
        </w:rPr>
        <w:t>CAHIER DE PRESC</w:t>
      </w:r>
      <w:r w:rsidR="00B21207">
        <w:rPr>
          <w:rFonts w:cstheme="minorHAnsi"/>
        </w:rPr>
        <w:t>R</w:t>
      </w:r>
      <w:r w:rsidRPr="00AD1B6B">
        <w:rPr>
          <w:rFonts w:cstheme="minorHAnsi"/>
        </w:rPr>
        <w:t>IPTION</w:t>
      </w:r>
    </w:p>
    <w:p w:rsidR="00226532" w:rsidRPr="00AD1B6B" w:rsidRDefault="00B25300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>
        <w:rPr>
          <w:rFonts w:cstheme="minorHAnsi"/>
        </w:rPr>
        <w:t>APPLIQUE</w:t>
      </w:r>
      <w:r w:rsidR="00AC5D1F" w:rsidRPr="00AD1B6B">
        <w:rPr>
          <w:rFonts w:cstheme="minorHAnsi"/>
        </w:rPr>
        <w:t xml:space="preserve"> </w:t>
      </w:r>
      <w:r w:rsidR="008D53D2">
        <w:rPr>
          <w:rFonts w:cstheme="minorHAnsi"/>
        </w:rPr>
        <w:t>NON MEDICALISEE</w:t>
      </w:r>
    </w:p>
    <w:p w:rsidR="00AC5D1F" w:rsidRPr="00210EA5" w:rsidRDefault="00583AA5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LIN</w:t>
      </w:r>
      <w:r w:rsidR="001A5107">
        <w:rPr>
          <w:rFonts w:cstheme="minorHAnsi"/>
          <w:b/>
          <w:sz w:val="28"/>
          <w:szCs w:val="28"/>
        </w:rPr>
        <w:t>A</w:t>
      </w:r>
    </w:p>
    <w:p w:rsidR="00D74934" w:rsidRPr="00AD1B6B" w:rsidRDefault="00D74934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Principe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DF67C6" w:rsidRPr="00DF67C6" w:rsidRDefault="00DF67C6" w:rsidP="00DF67C6">
      <w:pPr>
        <w:spacing w:line="240" w:lineRule="auto"/>
        <w:jc w:val="both"/>
        <w:rPr>
          <w:rFonts w:cstheme="minorHAnsi"/>
        </w:rPr>
      </w:pPr>
      <w:r w:rsidRPr="00DF67C6">
        <w:rPr>
          <w:rFonts w:cstheme="minorHAnsi"/>
        </w:rPr>
        <w:t>Toutes les chambres seront équipées d’une applique d’éclairage mural de type LINA de la société TLV ou d’un produit équivalent :</w:t>
      </w:r>
    </w:p>
    <w:p w:rsidR="00E97BD4" w:rsidRDefault="00DF67C6" w:rsidP="00DF67C6">
      <w:pPr>
        <w:pStyle w:val="Paragraphedeliste"/>
        <w:numPr>
          <w:ilvl w:val="0"/>
          <w:numId w:val="30"/>
        </w:numPr>
        <w:spacing w:line="240" w:lineRule="auto"/>
        <w:jc w:val="both"/>
        <w:rPr>
          <w:rFonts w:cstheme="minorHAnsi"/>
        </w:rPr>
      </w:pPr>
      <w:r w:rsidRPr="00DF67C6">
        <w:rPr>
          <w:rFonts w:cstheme="minorHAnsi"/>
        </w:rPr>
        <w:t>Assurant les éclairages d’ambiance, de lecture, de veille et de soins d’une chambre, suivant les recommandations AFE sur l’éclairage des établissements de santé,</w:t>
      </w:r>
    </w:p>
    <w:p w:rsidR="00583AA5" w:rsidRPr="00583AA5" w:rsidRDefault="00DF67C6" w:rsidP="00851599">
      <w:pPr>
        <w:pStyle w:val="Paragraphedeliste"/>
        <w:numPr>
          <w:ilvl w:val="0"/>
          <w:numId w:val="30"/>
        </w:numPr>
        <w:spacing w:line="240" w:lineRule="auto"/>
        <w:ind w:left="709" w:hanging="425"/>
        <w:jc w:val="both"/>
        <w:rPr>
          <w:rFonts w:cstheme="minorHAnsi"/>
        </w:rPr>
      </w:pPr>
      <w:r>
        <w:t>Regroupant discrètement et à portée de main au maximum 6 équipements courants forts et/ou courants faibles.</w:t>
      </w:r>
    </w:p>
    <w:p w:rsidR="00EE5D3D" w:rsidRPr="00AD1B6B" w:rsidRDefault="00DF67C6" w:rsidP="00EB5A36">
      <w:pPr>
        <w:pStyle w:val="Paragraphedeliste"/>
        <w:numPr>
          <w:ilvl w:val="0"/>
          <w:numId w:val="30"/>
        </w:numPr>
        <w:spacing w:line="240" w:lineRule="auto"/>
        <w:ind w:left="709" w:hanging="425"/>
        <w:jc w:val="both"/>
        <w:rPr>
          <w:rFonts w:cstheme="minorHAnsi"/>
        </w:rPr>
      </w:pPr>
      <w:r>
        <w:t>Disposant d’un large choix de coloris permettant de l’assortir aux différentes teintes et revêtements des chambres.</w:t>
      </w:r>
    </w:p>
    <w:p w:rsidR="00EE5D3D" w:rsidRPr="00AD1B6B" w:rsidRDefault="00EE5D3D" w:rsidP="00EB5A36">
      <w:pPr>
        <w:pStyle w:val="Paragraphedeliste"/>
        <w:spacing w:line="240" w:lineRule="auto"/>
        <w:ind w:left="0"/>
        <w:jc w:val="both"/>
        <w:rPr>
          <w:rFonts w:cstheme="minorHAnsi"/>
        </w:rPr>
      </w:pPr>
    </w:p>
    <w:p w:rsidR="00675745" w:rsidRPr="00EA0B34" w:rsidRDefault="00DF67C6" w:rsidP="003D7586">
      <w:pPr>
        <w:pStyle w:val="Paragraphedeliste"/>
        <w:spacing w:line="240" w:lineRule="auto"/>
        <w:ind w:left="0" w:firstLine="284"/>
        <w:jc w:val="center"/>
        <w:rPr>
          <w:rFonts w:cstheme="minorHAnsi"/>
          <w:b/>
          <w:color w:val="4F81BD" w:themeColor="accent1"/>
        </w:rPr>
      </w:pPr>
      <w:r w:rsidRPr="00DF67C6">
        <w:rPr>
          <w:rFonts w:cstheme="minorHAnsi"/>
          <w:i/>
          <w:sz w:val="18"/>
          <w:szCs w:val="18"/>
        </w:rPr>
        <w:t>(Visuel donné à titre informatif, pour apprécier le descriptif)</w:t>
      </w:r>
      <w:r w:rsidR="00583AA5" w:rsidRPr="00583AA5">
        <w:rPr>
          <w:rFonts w:cstheme="minorHAnsi"/>
          <w:b/>
          <w:noProof/>
          <w:color w:val="4F81BD" w:themeColor="accent1"/>
          <w:lang w:eastAsia="fr-FR"/>
        </w:rPr>
        <w:drawing>
          <wp:inline distT="0" distB="0" distL="0" distR="0" wp14:anchorId="0DE38B22" wp14:editId="3E8BFD06">
            <wp:extent cx="3600000" cy="1968219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Référentiel technique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46472" w:rsidRDefault="00DF67C6" w:rsidP="00E46472">
      <w:pPr>
        <w:pStyle w:val="Corpsdetexte"/>
        <w:tabs>
          <w:tab w:val="clear" w:pos="567"/>
        </w:tabs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DF67C6">
        <w:rPr>
          <w:rFonts w:asciiTheme="minorHAnsi" w:hAnsiTheme="minorHAnsi" w:cstheme="minorHAnsi"/>
          <w:sz w:val="22"/>
          <w:szCs w:val="22"/>
        </w:rPr>
        <w:t>L’applique d’éclairage sera composée d'un corps en tôle d’acier (classement au feu M0) de dimension 1050x140x200mm, et sera recouvert d’une peinture époxy poudrée.</w:t>
      </w:r>
    </w:p>
    <w:p w:rsidR="00E46472" w:rsidRDefault="00E46472" w:rsidP="0092068D">
      <w:pPr>
        <w:spacing w:after="0" w:line="240" w:lineRule="auto"/>
        <w:ind w:firstLine="284"/>
        <w:jc w:val="both"/>
        <w:rPr>
          <w:rFonts w:cstheme="minorHAnsi"/>
        </w:rPr>
      </w:pPr>
    </w:p>
    <w:p w:rsidR="00E46472" w:rsidRDefault="00E46472" w:rsidP="0092068D">
      <w:pPr>
        <w:spacing w:after="0" w:line="240" w:lineRule="auto"/>
        <w:ind w:firstLine="284"/>
        <w:jc w:val="both"/>
        <w:rPr>
          <w:rFonts w:cstheme="minorHAnsi"/>
        </w:rPr>
      </w:pPr>
      <w:r w:rsidRPr="00E46472">
        <w:rPr>
          <w:rFonts w:cstheme="minorHAnsi"/>
          <w:noProof/>
          <w:lang w:eastAsia="fr-FR"/>
        </w:rPr>
        <w:drawing>
          <wp:inline distT="0" distB="0" distL="0" distR="0" wp14:anchorId="60777ACC" wp14:editId="6A126417">
            <wp:extent cx="5850255" cy="18065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72" w:rsidRDefault="00E46472" w:rsidP="0092068D">
      <w:pPr>
        <w:spacing w:after="0" w:line="240" w:lineRule="auto"/>
        <w:ind w:firstLine="284"/>
        <w:jc w:val="both"/>
        <w:rPr>
          <w:rFonts w:cstheme="minorHAnsi"/>
        </w:rPr>
      </w:pPr>
    </w:p>
    <w:p w:rsidR="00056D4F" w:rsidRPr="00AD1B6B" w:rsidRDefault="00DF67C6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DF67C6">
        <w:rPr>
          <w:rFonts w:cstheme="minorHAnsi"/>
        </w:rPr>
        <w:t>Le nettoyage et la désinfection seront facilités grâce à</w:t>
      </w:r>
      <w:r w:rsidR="00056D4F" w:rsidRPr="00AD1B6B">
        <w:rPr>
          <w:rFonts w:cstheme="minorHAnsi"/>
        </w:rPr>
        <w:t> :</w:t>
      </w:r>
    </w:p>
    <w:p w:rsidR="00E46472" w:rsidRPr="00E46472" w:rsidRDefault="00DF67C6" w:rsidP="00DF67C6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DF67C6">
        <w:rPr>
          <w:rFonts w:cstheme="minorHAnsi"/>
        </w:rPr>
        <w:t>Des formes douces</w:t>
      </w:r>
      <w:r>
        <w:rPr>
          <w:rFonts w:cstheme="minorHAnsi"/>
        </w:rPr>
        <w:t>,</w:t>
      </w:r>
    </w:p>
    <w:p w:rsidR="00E46472" w:rsidRPr="00E46472" w:rsidRDefault="00DF67C6" w:rsidP="00E46472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>
        <w:t>L’intégration complète du dispositif d'éclairage dans le corps de l’applique</w:t>
      </w:r>
    </w:p>
    <w:p w:rsidR="00056D4F" w:rsidRPr="00AD1B6B" w:rsidRDefault="00DF67C6" w:rsidP="00056D4F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>
        <w:t>Des accessoires électriques affleurant au diffusant</w:t>
      </w:r>
      <w:r w:rsidR="008D53D2">
        <w:rPr>
          <w:rFonts w:cstheme="minorHAnsi"/>
        </w:rPr>
        <w:t>.</w:t>
      </w:r>
    </w:p>
    <w:p w:rsidR="00212847" w:rsidRDefault="00212847" w:rsidP="00212847">
      <w:pPr>
        <w:spacing w:after="0" w:line="240" w:lineRule="auto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B028E8" w:rsidRPr="00AD1B6B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lastRenderedPageBreak/>
        <w:t>Installation et Maintenance</w:t>
      </w:r>
    </w:p>
    <w:p w:rsidR="00B028E8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B028E8" w:rsidRPr="00B548BA" w:rsidRDefault="00DF67C6" w:rsidP="00B028E8">
      <w:pPr>
        <w:spacing w:after="0" w:line="240" w:lineRule="auto"/>
        <w:ind w:firstLine="284"/>
        <w:jc w:val="both"/>
      </w:pPr>
      <w:r w:rsidRPr="00B548BA">
        <w:t>Elles seront facilitées par</w:t>
      </w:r>
      <w:r w:rsidR="00B028E8" w:rsidRPr="00B548BA">
        <w:t>:</w:t>
      </w:r>
    </w:p>
    <w:p w:rsidR="00B028E8" w:rsidRPr="00B548BA" w:rsidRDefault="00B028E8" w:rsidP="00B028E8">
      <w:pPr>
        <w:spacing w:after="0" w:line="240" w:lineRule="auto"/>
        <w:ind w:firstLine="284"/>
        <w:jc w:val="both"/>
      </w:pPr>
    </w:p>
    <w:p w:rsidR="00E46472" w:rsidRPr="00B548BA" w:rsidRDefault="00DF67C6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</w:pPr>
      <w:r w:rsidRPr="00B548BA">
        <w:t xml:space="preserve">Une fixation de la platine au mur par 2 </w:t>
      </w:r>
      <w:proofErr w:type="gramStart"/>
      <w:r w:rsidRPr="00B548BA">
        <w:t>vis</w:t>
      </w:r>
      <w:proofErr w:type="gramEnd"/>
      <w:r w:rsidR="00E46472" w:rsidRPr="00B548BA">
        <w:t>.</w:t>
      </w:r>
    </w:p>
    <w:p w:rsidR="00E46472" w:rsidRPr="00B548BA" w:rsidRDefault="00DF67C6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</w:pPr>
      <w:r w:rsidRPr="00B548BA">
        <w:t>Des découpes d’alimentation de chaque côté et au centre de la platine</w:t>
      </w:r>
      <w:r w:rsidR="00E46472" w:rsidRPr="00B548BA">
        <w:t>.</w:t>
      </w:r>
    </w:p>
    <w:p w:rsidR="00BD196D" w:rsidRPr="00B548BA" w:rsidRDefault="00DF67C6" w:rsidP="00DF67C6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</w:pPr>
      <w:r w:rsidRPr="00B548BA">
        <w:t>Des bornes de raccordement BT à insertion directe avec identification des différents réseaux électriques</w:t>
      </w:r>
      <w:r w:rsidR="00BD196D" w:rsidRPr="00B548BA">
        <w:t>,</w:t>
      </w:r>
    </w:p>
    <w:p w:rsidR="00BD196D" w:rsidRPr="00B548BA" w:rsidRDefault="00DF67C6" w:rsidP="00DF67C6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</w:pPr>
      <w:r w:rsidRPr="00B548BA">
        <w:t>Un schéma de câblage placé à l’intérieur de l</w:t>
      </w:r>
      <w:r w:rsidR="001415C8" w:rsidRPr="00B548BA">
        <w:t xml:space="preserve">’applique </w:t>
      </w:r>
      <w:r w:rsidRPr="00B548BA">
        <w:t>au niveau du point de raccordement</w:t>
      </w:r>
      <w:r w:rsidR="00BD196D" w:rsidRPr="00B548BA">
        <w:t>,</w:t>
      </w:r>
    </w:p>
    <w:p w:rsidR="00212847" w:rsidRPr="00B548BA" w:rsidRDefault="00DF67C6" w:rsidP="00212847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</w:pPr>
      <w:r w:rsidRPr="00B548BA">
        <w:t>Des accessoires électriques fixés sur la platine (ne nécessitant pas de cadre de propreté)</w:t>
      </w:r>
      <w:r w:rsidR="008D53D2" w:rsidRPr="00B548BA">
        <w:t>.</w:t>
      </w:r>
    </w:p>
    <w:p w:rsidR="002D38F0" w:rsidRPr="00B548BA" w:rsidRDefault="002D38F0" w:rsidP="00212847">
      <w:pPr>
        <w:spacing w:after="0" w:line="240" w:lineRule="auto"/>
        <w:jc w:val="both"/>
      </w:pP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Eclairage</w:t>
      </w:r>
      <w:r w:rsidR="005E59D9">
        <w:rPr>
          <w:rFonts w:cstheme="minorHAnsi"/>
          <w:b/>
          <w:color w:val="4F81BD" w:themeColor="accent1"/>
          <w:sz w:val="28"/>
          <w:szCs w:val="28"/>
        </w:rPr>
        <w:t>s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</w:rPr>
      </w:pPr>
    </w:p>
    <w:p w:rsidR="00BD196D" w:rsidRPr="00B548BA" w:rsidRDefault="00BD196D" w:rsidP="00B548BA">
      <w:pPr>
        <w:spacing w:after="0" w:line="240" w:lineRule="auto"/>
        <w:ind w:firstLine="284"/>
        <w:jc w:val="both"/>
      </w:pPr>
      <w:r w:rsidRPr="00B548BA">
        <w:t>Les éclairages 100% LED devront être :</w:t>
      </w:r>
    </w:p>
    <w:p w:rsidR="00BD196D" w:rsidRPr="00B548BA" w:rsidRDefault="00BD196D" w:rsidP="00B548BA">
      <w:pPr>
        <w:spacing w:after="0" w:line="240" w:lineRule="auto"/>
        <w:ind w:firstLine="284"/>
        <w:jc w:val="both"/>
      </w:pPr>
      <w:r w:rsidRPr="00B548BA">
        <w:t>•</w:t>
      </w:r>
      <w:r w:rsidRPr="00B548BA">
        <w:tab/>
        <w:t>Performants :</w:t>
      </w:r>
    </w:p>
    <w:p w:rsidR="00BD196D" w:rsidRPr="00B548BA" w:rsidRDefault="00BD196D" w:rsidP="00B548BA">
      <w:pPr>
        <w:spacing w:after="0" w:line="240" w:lineRule="auto"/>
        <w:ind w:firstLine="284"/>
        <w:jc w:val="both"/>
      </w:pPr>
      <w:proofErr w:type="gramStart"/>
      <w:r w:rsidRPr="00B548BA">
        <w:t>o</w:t>
      </w:r>
      <w:proofErr w:type="gramEnd"/>
      <w:r w:rsidRPr="00B548BA">
        <w:tab/>
        <w:t xml:space="preserve">Durée de vie </w:t>
      </w:r>
      <w:r w:rsidR="0048159E">
        <w:t>6</w:t>
      </w:r>
      <w:r w:rsidRPr="00B548BA">
        <w:t>0 000h (L80B10), réduisant ainsi les coûts de maintenance,</w:t>
      </w:r>
    </w:p>
    <w:p w:rsidR="00BD196D" w:rsidRPr="00B548BA" w:rsidRDefault="00BD196D" w:rsidP="00B548BA">
      <w:pPr>
        <w:spacing w:after="0" w:line="240" w:lineRule="auto"/>
        <w:ind w:firstLine="284"/>
        <w:jc w:val="both"/>
      </w:pPr>
      <w:proofErr w:type="gramStart"/>
      <w:r w:rsidRPr="00B548BA">
        <w:t>o</w:t>
      </w:r>
      <w:proofErr w:type="gramEnd"/>
      <w:r w:rsidRPr="00B548BA">
        <w:tab/>
        <w:t>IRC &gt;80,</w:t>
      </w:r>
    </w:p>
    <w:p w:rsidR="00BD196D" w:rsidRPr="00B548BA" w:rsidRDefault="00BD196D" w:rsidP="00B548BA">
      <w:pPr>
        <w:spacing w:after="0" w:line="240" w:lineRule="auto"/>
        <w:ind w:firstLine="284"/>
        <w:jc w:val="both"/>
      </w:pPr>
      <w:proofErr w:type="gramStart"/>
      <w:r w:rsidRPr="00B548BA">
        <w:t>o</w:t>
      </w:r>
      <w:proofErr w:type="gramEnd"/>
      <w:r w:rsidRPr="00B548BA">
        <w:tab/>
        <w:t>Un excellent maintien du flux dans le temps,</w:t>
      </w:r>
    </w:p>
    <w:p w:rsidR="00BD196D" w:rsidRPr="00B548BA" w:rsidRDefault="00BD196D" w:rsidP="00B548BA">
      <w:pPr>
        <w:spacing w:after="0" w:line="240" w:lineRule="auto"/>
        <w:ind w:firstLine="284"/>
        <w:jc w:val="both"/>
      </w:pPr>
      <w:proofErr w:type="gramStart"/>
      <w:r w:rsidRPr="00B548BA">
        <w:t>o</w:t>
      </w:r>
      <w:proofErr w:type="gramEnd"/>
      <w:r w:rsidRPr="00B548BA">
        <w:tab/>
        <w:t>Un rapport lm/W supérieur à un éclairage traditionnel équipé de sources fluorescentes.</w:t>
      </w:r>
    </w:p>
    <w:p w:rsidR="00BD196D" w:rsidRPr="00B548BA" w:rsidRDefault="00BD196D" w:rsidP="00BD196D">
      <w:pPr>
        <w:spacing w:after="0" w:line="240" w:lineRule="auto"/>
        <w:ind w:firstLine="284"/>
        <w:jc w:val="both"/>
      </w:pPr>
      <w:r w:rsidRPr="00B548BA">
        <w:t>•</w:t>
      </w:r>
      <w:r w:rsidRPr="00B548BA">
        <w:tab/>
        <w:t>Confortables :</w:t>
      </w:r>
    </w:p>
    <w:p w:rsidR="00BD196D" w:rsidRPr="00B548BA" w:rsidRDefault="00BD196D" w:rsidP="00B548BA">
      <w:pPr>
        <w:spacing w:after="0" w:line="240" w:lineRule="auto"/>
        <w:ind w:firstLine="284"/>
        <w:jc w:val="both"/>
      </w:pPr>
      <w:proofErr w:type="gramStart"/>
      <w:r w:rsidRPr="00B548BA">
        <w:t>o</w:t>
      </w:r>
      <w:proofErr w:type="gramEnd"/>
      <w:r w:rsidRPr="00B548BA">
        <w:tab/>
        <w:t>Température de couleur de 3 000 ou 4 000k</w:t>
      </w:r>
    </w:p>
    <w:p w:rsidR="00BD196D" w:rsidRPr="00B548BA" w:rsidRDefault="00BD196D" w:rsidP="00B548BA">
      <w:pPr>
        <w:spacing w:after="0" w:line="240" w:lineRule="auto"/>
        <w:ind w:firstLine="284"/>
        <w:jc w:val="both"/>
      </w:pPr>
      <w:proofErr w:type="gramStart"/>
      <w:r w:rsidRPr="00B548BA">
        <w:t>o</w:t>
      </w:r>
      <w:proofErr w:type="gramEnd"/>
      <w:r w:rsidRPr="00B548BA">
        <w:tab/>
        <w:t>Exempt de rayonnement thermique vers le patient.</w:t>
      </w:r>
    </w:p>
    <w:p w:rsidR="00BD196D" w:rsidRPr="00B548BA" w:rsidRDefault="00BD196D" w:rsidP="00BD196D">
      <w:pPr>
        <w:spacing w:after="0" w:line="240" w:lineRule="auto"/>
        <w:ind w:firstLine="284"/>
        <w:jc w:val="both"/>
      </w:pPr>
      <w:r w:rsidRPr="00B548BA">
        <w:t>•</w:t>
      </w:r>
      <w:r w:rsidRPr="00B548BA">
        <w:tab/>
        <w:t>Equipés :</w:t>
      </w:r>
    </w:p>
    <w:p w:rsidR="00BD196D" w:rsidRPr="00B548BA" w:rsidRDefault="00BD196D" w:rsidP="00B548BA">
      <w:pPr>
        <w:spacing w:after="0" w:line="240" w:lineRule="auto"/>
        <w:ind w:firstLine="284"/>
        <w:jc w:val="both"/>
      </w:pPr>
      <w:proofErr w:type="gramStart"/>
      <w:r w:rsidRPr="00B548BA">
        <w:t>o</w:t>
      </w:r>
      <w:proofErr w:type="gramEnd"/>
      <w:r w:rsidRPr="00B548BA">
        <w:tab/>
        <w:t>De modules LED linéaires pour l’ambiance et la lecture ayant au maximum 3 Ellipses de macadam.</w:t>
      </w:r>
    </w:p>
    <w:p w:rsidR="00BD196D" w:rsidRPr="00B548BA" w:rsidRDefault="00BD196D" w:rsidP="00B548BA">
      <w:pPr>
        <w:spacing w:after="0" w:line="240" w:lineRule="auto"/>
        <w:ind w:firstLine="284"/>
        <w:jc w:val="both"/>
      </w:pPr>
      <w:proofErr w:type="gramStart"/>
      <w:r w:rsidRPr="00B548BA">
        <w:t>o</w:t>
      </w:r>
      <w:proofErr w:type="gramEnd"/>
      <w:r w:rsidRPr="00B548BA">
        <w:tab/>
        <w:t>D’un module LED pour la veille ayant au maximum 3 Ellipses de macadam.</w:t>
      </w:r>
    </w:p>
    <w:p w:rsidR="00BD196D" w:rsidRPr="00B548BA" w:rsidRDefault="00BD196D" w:rsidP="00BD196D">
      <w:pPr>
        <w:spacing w:after="0" w:line="240" w:lineRule="auto"/>
        <w:ind w:firstLine="284"/>
        <w:jc w:val="both"/>
      </w:pPr>
    </w:p>
    <w:p w:rsidR="00BD196D" w:rsidRPr="00B548BA" w:rsidRDefault="00BD196D" w:rsidP="00BD196D">
      <w:pPr>
        <w:spacing w:after="0" w:line="240" w:lineRule="auto"/>
        <w:ind w:firstLine="284"/>
        <w:jc w:val="both"/>
      </w:pPr>
      <w:r w:rsidRPr="00B548BA">
        <w:t>En tenant compte d’un coefficient de maintenance de 0.83, les éclairages devront permettre de maintenir un niveau d’éclairement moyen d’au moins :</w:t>
      </w:r>
    </w:p>
    <w:p w:rsidR="00BD196D" w:rsidRPr="00B548BA" w:rsidRDefault="00BD196D" w:rsidP="00BD196D">
      <w:pPr>
        <w:spacing w:after="0" w:line="240" w:lineRule="auto"/>
        <w:ind w:firstLine="284"/>
        <w:jc w:val="both"/>
      </w:pPr>
      <w:r w:rsidRPr="00B548BA">
        <w:t>•</w:t>
      </w:r>
      <w:r w:rsidRPr="00B548BA">
        <w:tab/>
        <w:t>100 lux pour l’éclairage d’ambiance à 0.85 m du sol,</w:t>
      </w:r>
    </w:p>
    <w:p w:rsidR="00BD196D" w:rsidRPr="00B548BA" w:rsidRDefault="00BD196D" w:rsidP="00BD196D">
      <w:pPr>
        <w:spacing w:after="0" w:line="240" w:lineRule="auto"/>
        <w:ind w:firstLine="284"/>
        <w:jc w:val="both"/>
      </w:pPr>
      <w:r w:rsidRPr="00B548BA">
        <w:t>•</w:t>
      </w:r>
      <w:r w:rsidRPr="00B548BA">
        <w:tab/>
        <w:t>300 lux pour l’éclairage de lecture sur un plan de 300 x 300 mm incliné à 75° situé à 1m10 du sol et à 1m du mur,</w:t>
      </w:r>
    </w:p>
    <w:p w:rsidR="00BD196D" w:rsidRPr="00B548BA" w:rsidRDefault="00BD196D" w:rsidP="00BD196D">
      <w:pPr>
        <w:spacing w:after="0" w:line="240" w:lineRule="auto"/>
        <w:ind w:firstLine="284"/>
        <w:jc w:val="both"/>
      </w:pPr>
      <w:r w:rsidRPr="00B548BA">
        <w:t>•</w:t>
      </w:r>
      <w:r w:rsidRPr="00B548BA">
        <w:tab/>
        <w:t>300 lux sur le lit pour l’éclairage de soins à 0.85 m du sol (obtenu par le cumul de l’éclairage d’ambiance et de lecture).</w:t>
      </w:r>
    </w:p>
    <w:p w:rsidR="00BD196D" w:rsidRPr="00B548BA" w:rsidRDefault="00BD196D" w:rsidP="00BD196D">
      <w:pPr>
        <w:spacing w:after="0" w:line="240" w:lineRule="auto"/>
        <w:ind w:firstLine="284"/>
        <w:jc w:val="both"/>
      </w:pPr>
    </w:p>
    <w:p w:rsidR="00BD196D" w:rsidRPr="00B548BA" w:rsidRDefault="00DF67C6" w:rsidP="00BD196D">
      <w:pPr>
        <w:spacing w:after="0" w:line="240" w:lineRule="auto"/>
        <w:ind w:firstLine="284"/>
        <w:jc w:val="both"/>
      </w:pPr>
      <w:r w:rsidRPr="00B548BA">
        <w:t>Les diffusants pour l’ambiance et la lecture seront en PMMA (</w:t>
      </w:r>
      <w:proofErr w:type="spellStart"/>
      <w:r w:rsidRPr="00B548BA">
        <w:t>polyméthacrylate</w:t>
      </w:r>
      <w:proofErr w:type="spellEnd"/>
      <w:r w:rsidRPr="00B548BA">
        <w:t xml:space="preserve"> de méthyle) extrêmement résistant aux UV (sans risque de jaunissement) et intégreront des réflecteurs dirigeant le flux lumineux vers le centre de la chambre et sur le plan de lecture</w:t>
      </w:r>
      <w:r w:rsidR="00BD196D" w:rsidRPr="00B548BA">
        <w:t>.</w:t>
      </w:r>
    </w:p>
    <w:p w:rsidR="00BD196D" w:rsidRPr="00B548BA" w:rsidRDefault="00BD196D" w:rsidP="005E59D9">
      <w:pPr>
        <w:spacing w:after="0" w:line="240" w:lineRule="auto"/>
        <w:ind w:firstLine="284"/>
        <w:jc w:val="both"/>
      </w:pPr>
    </w:p>
    <w:p w:rsidR="002D38F0" w:rsidRPr="004C7833" w:rsidRDefault="002D38F0" w:rsidP="002D38F0">
      <w:pPr>
        <w:spacing w:after="0" w:line="240" w:lineRule="auto"/>
        <w:ind w:firstLine="284"/>
        <w:jc w:val="both"/>
        <w:rPr>
          <w:rFonts w:cstheme="minorHAnsi"/>
        </w:rPr>
      </w:pPr>
      <w:r w:rsidRPr="004C7833">
        <w:rPr>
          <w:rFonts w:cstheme="minorHAnsi"/>
        </w:rPr>
        <w:t>L</w:t>
      </w:r>
      <w:r w:rsidR="008D53D2">
        <w:rPr>
          <w:rFonts w:cstheme="minorHAnsi"/>
        </w:rPr>
        <w:t>’applique</w:t>
      </w:r>
      <w:r w:rsidRPr="004C7833">
        <w:rPr>
          <w:rFonts w:cstheme="minorHAnsi"/>
        </w:rPr>
        <w:t xml:space="preserve"> </w:t>
      </w:r>
      <w:r w:rsidR="00C112ED">
        <w:rPr>
          <w:rFonts w:cstheme="minorHAnsi"/>
        </w:rPr>
        <w:t>pourra être</w:t>
      </w:r>
      <w:r w:rsidRPr="004C7833">
        <w:rPr>
          <w:rFonts w:cstheme="minorHAnsi"/>
        </w:rPr>
        <w:t xml:space="preserve"> équipée</w:t>
      </w:r>
      <w:r w:rsidR="00BA5A1F">
        <w:rPr>
          <w:rFonts w:cstheme="minorHAnsi"/>
        </w:rPr>
        <w:t xml:space="preserve"> </w:t>
      </w:r>
      <w:r w:rsidR="00E52775">
        <w:rPr>
          <w:rFonts w:cstheme="minorHAnsi"/>
        </w:rPr>
        <w:t>en option</w:t>
      </w:r>
      <w:r>
        <w:rPr>
          <w:rFonts w:cstheme="minorHAnsi"/>
        </w:rPr>
        <w:t xml:space="preserve">, </w:t>
      </w:r>
      <w:r w:rsidR="00CF6B2E" w:rsidRPr="004C7833">
        <w:rPr>
          <w:rFonts w:cstheme="minorHAnsi"/>
        </w:rPr>
        <w:t>d’un</w:t>
      </w:r>
      <w:r w:rsidR="00CF6B2E">
        <w:rPr>
          <w:rFonts w:cstheme="minorHAnsi"/>
        </w:rPr>
        <w:t xml:space="preserve"> </w:t>
      </w:r>
      <w:r w:rsidR="00CF6B2E" w:rsidRPr="004C7833">
        <w:rPr>
          <w:rFonts w:cstheme="minorHAnsi"/>
        </w:rPr>
        <w:t xml:space="preserve">éclairage </w:t>
      </w:r>
      <w:r w:rsidR="00CF6B2E">
        <w:rPr>
          <w:rFonts w:cstheme="minorHAnsi"/>
        </w:rPr>
        <w:t xml:space="preserve">de </w:t>
      </w:r>
      <w:r w:rsidR="00CF6B2E" w:rsidRPr="004C7833">
        <w:rPr>
          <w:rFonts w:cstheme="minorHAnsi"/>
        </w:rPr>
        <w:t xml:space="preserve">veille </w:t>
      </w:r>
      <w:r w:rsidR="00CF6B2E">
        <w:rPr>
          <w:rFonts w:cstheme="minorHAnsi"/>
        </w:rPr>
        <w:t>à module LED procurant un flux lumineux de 335 Lm situé</w:t>
      </w:r>
      <w:r w:rsidR="00CF6B2E" w:rsidRPr="004C7833">
        <w:rPr>
          <w:rFonts w:cstheme="minorHAnsi"/>
        </w:rPr>
        <w:t xml:space="preserve"> dans la partie supérieur</w:t>
      </w:r>
      <w:r w:rsidR="00CF6B2E">
        <w:rPr>
          <w:rFonts w:cstheme="minorHAnsi"/>
        </w:rPr>
        <w:t>e</w:t>
      </w:r>
      <w:r>
        <w:rPr>
          <w:rFonts w:cstheme="minorHAnsi"/>
        </w:rPr>
        <w:t>.</w:t>
      </w:r>
    </w:p>
    <w:p w:rsidR="002D38F0" w:rsidRDefault="002D38F0" w:rsidP="002D38F0">
      <w:pPr>
        <w:spacing w:after="0" w:line="240" w:lineRule="auto"/>
        <w:jc w:val="both"/>
        <w:rPr>
          <w:rFonts w:cstheme="minorHAnsi"/>
        </w:rPr>
      </w:pPr>
    </w:p>
    <w:p w:rsidR="002D38F0" w:rsidRPr="0024479A" w:rsidRDefault="002D38F0" w:rsidP="002D38F0">
      <w:pPr>
        <w:spacing w:after="0" w:line="240" w:lineRule="auto"/>
        <w:ind w:firstLine="284"/>
        <w:jc w:val="both"/>
        <w:rPr>
          <w:rFonts w:cstheme="minorHAnsi"/>
        </w:rPr>
      </w:pPr>
      <w:r w:rsidRPr="0024479A">
        <w:rPr>
          <w:rFonts w:cstheme="minorHAnsi"/>
        </w:rPr>
        <w:t xml:space="preserve">L’éblouissement des éclairages d’ambiance et de lecture sera limité, les sources n’étant pas visibles directement par le patient, </w:t>
      </w:r>
      <w:r>
        <w:rPr>
          <w:rFonts w:cstheme="minorHAnsi"/>
        </w:rPr>
        <w:t xml:space="preserve">par </w:t>
      </w:r>
      <w:r w:rsidRPr="0024479A">
        <w:rPr>
          <w:rFonts w:cstheme="minorHAnsi"/>
        </w:rPr>
        <w:t>le personnel médical ou les visiteurs, afin de respecter les préconisations d'éblouissement de l’éclairage des lieux de travail.</w:t>
      </w:r>
    </w:p>
    <w:p w:rsidR="00CF6B2E" w:rsidRDefault="00CF6B2E" w:rsidP="00CF6B2E">
      <w:pPr>
        <w:spacing w:after="0" w:line="240" w:lineRule="auto"/>
        <w:jc w:val="both"/>
        <w:rPr>
          <w:rFonts w:cstheme="minorHAnsi"/>
        </w:rPr>
      </w:pPr>
    </w:p>
    <w:p w:rsidR="00CF6B2E" w:rsidRPr="00777176" w:rsidRDefault="00DF67C6" w:rsidP="00CF6B2E">
      <w:pPr>
        <w:spacing w:after="0" w:line="240" w:lineRule="auto"/>
        <w:ind w:firstLine="284"/>
        <w:jc w:val="both"/>
        <w:rPr>
          <w:rFonts w:cstheme="minorHAnsi"/>
        </w:rPr>
      </w:pPr>
      <w:r w:rsidRPr="00DF67C6">
        <w:rPr>
          <w:rFonts w:cstheme="minorHAnsi"/>
        </w:rPr>
        <w:t>En option, l</w:t>
      </w:r>
      <w:r w:rsidR="001415C8">
        <w:rPr>
          <w:rFonts w:cstheme="minorHAnsi"/>
        </w:rPr>
        <w:t>’applique</w:t>
      </w:r>
      <w:r w:rsidRPr="00DF67C6">
        <w:rPr>
          <w:rFonts w:cstheme="minorHAnsi"/>
        </w:rPr>
        <w:t xml:space="preserve"> pourra offrir un éclairage indirect équipé de modules LED dynamiques ayant une température de couleur allant de 2700 à 6</w:t>
      </w:r>
      <w:bookmarkStart w:id="0" w:name="_GoBack"/>
      <w:r w:rsidRPr="00DF67C6">
        <w:rPr>
          <w:rFonts w:cstheme="minorHAnsi"/>
        </w:rPr>
        <w:t>50</w:t>
      </w:r>
      <w:bookmarkEnd w:id="0"/>
      <w:r w:rsidRPr="00DF67C6">
        <w:rPr>
          <w:rFonts w:cstheme="minorHAnsi"/>
        </w:rPr>
        <w:t>0 K permettant de reproduire un cycle d’éclairage de type circadien</w:t>
      </w:r>
      <w:r w:rsidR="00CF6B2E">
        <w:rPr>
          <w:rFonts w:cstheme="minorHAnsi"/>
        </w:rPr>
        <w:t>.</w:t>
      </w:r>
    </w:p>
    <w:p w:rsidR="002D38F0" w:rsidRDefault="002D38F0" w:rsidP="002D38F0">
      <w:pPr>
        <w:spacing w:after="0" w:line="240" w:lineRule="auto"/>
        <w:jc w:val="both"/>
        <w:rPr>
          <w:rFonts w:cstheme="minorHAnsi"/>
        </w:rPr>
      </w:pPr>
    </w:p>
    <w:p w:rsidR="00CF6B2E" w:rsidRPr="004C7833" w:rsidRDefault="00CF6B2E" w:rsidP="002D38F0">
      <w:pPr>
        <w:spacing w:after="0" w:line="240" w:lineRule="auto"/>
        <w:jc w:val="both"/>
        <w:rPr>
          <w:rFonts w:cstheme="minorHAnsi"/>
        </w:rPr>
      </w:pPr>
    </w:p>
    <w:p w:rsidR="002D38F0" w:rsidRPr="0024479A" w:rsidRDefault="002D38F0" w:rsidP="002D38F0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24479A">
        <w:rPr>
          <w:rFonts w:cstheme="minorHAnsi"/>
          <w:b/>
          <w:color w:val="4F81BD" w:themeColor="accent1"/>
          <w:sz w:val="28"/>
          <w:szCs w:val="28"/>
        </w:rPr>
        <w:t>Equipement</w:t>
      </w:r>
    </w:p>
    <w:p w:rsidR="00ED2642" w:rsidRDefault="00ED2642" w:rsidP="00ED2642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</w:p>
    <w:p w:rsidR="00ED2642" w:rsidRPr="0024479A" w:rsidRDefault="001415C8" w:rsidP="00ED2642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L</w:t>
      </w:r>
      <w:r w:rsidRPr="001415C8">
        <w:rPr>
          <w:rFonts w:cstheme="minorHAnsi"/>
        </w:rPr>
        <w:t xml:space="preserve">’applique </w:t>
      </w:r>
      <w:r w:rsidR="00ED2642" w:rsidRPr="0024479A">
        <w:rPr>
          <w:rFonts w:cstheme="minorHAnsi"/>
        </w:rPr>
        <w:t>sera composée d'un équipeme</w:t>
      </w:r>
      <w:r w:rsidR="00ED2642">
        <w:rPr>
          <w:rFonts w:cstheme="minorHAnsi"/>
        </w:rPr>
        <w:t>nt par lit comprenant au moins :</w:t>
      </w:r>
    </w:p>
    <w:p w:rsidR="00ED2642" w:rsidRPr="00B548BA" w:rsidRDefault="00ED2642" w:rsidP="00ED2642">
      <w:pPr>
        <w:pStyle w:val="Paragraphedeliste"/>
        <w:numPr>
          <w:ilvl w:val="0"/>
          <w:numId w:val="26"/>
        </w:numPr>
        <w:spacing w:after="0" w:line="240" w:lineRule="auto"/>
        <w:ind w:left="709" w:hanging="425"/>
      </w:pPr>
      <w:r w:rsidRPr="00B548BA">
        <w:t xml:space="preserve">Un éclairage d'ambiance, par module </w:t>
      </w:r>
      <w:proofErr w:type="spellStart"/>
      <w:r w:rsidRPr="00B548BA">
        <w:t>led</w:t>
      </w:r>
      <w:proofErr w:type="spellEnd"/>
      <w:r w:rsidRPr="00B548BA">
        <w:t xml:space="preserve"> de 3 </w:t>
      </w:r>
      <w:proofErr w:type="spellStart"/>
      <w:r w:rsidRPr="00B548BA">
        <w:t>Ft</w:t>
      </w:r>
      <w:proofErr w:type="spellEnd"/>
      <w:r w:rsidRPr="00B548BA">
        <w:t>, 4</w:t>
      </w:r>
      <w:r w:rsidR="005E3F3F">
        <w:t>540</w:t>
      </w:r>
      <w:r w:rsidRPr="00B548BA">
        <w:t xml:space="preserve"> lm, 3000 ou 4000 K, 1</w:t>
      </w:r>
      <w:r w:rsidR="005E3F3F">
        <w:t>42</w:t>
      </w:r>
      <w:r w:rsidRPr="00B548BA">
        <w:t xml:space="preserve"> lm/W, commandé par télérupteur en éclairage plein flux ou par impulsion en gradation Dali,</w:t>
      </w:r>
    </w:p>
    <w:p w:rsidR="00ED2642" w:rsidRPr="00B548BA" w:rsidRDefault="00ED2642" w:rsidP="00ED2642">
      <w:pPr>
        <w:pStyle w:val="Paragraphedeliste"/>
        <w:numPr>
          <w:ilvl w:val="0"/>
          <w:numId w:val="26"/>
        </w:numPr>
        <w:spacing w:after="0" w:line="240" w:lineRule="auto"/>
        <w:ind w:left="709" w:hanging="425"/>
      </w:pPr>
      <w:r w:rsidRPr="00B548BA">
        <w:t xml:space="preserve">Un éclairage de lecture, par module </w:t>
      </w:r>
      <w:proofErr w:type="spellStart"/>
      <w:r w:rsidRPr="00B548BA">
        <w:t>led</w:t>
      </w:r>
      <w:proofErr w:type="spellEnd"/>
      <w:r w:rsidRPr="00B548BA">
        <w:t xml:space="preserve"> de 2 </w:t>
      </w:r>
      <w:proofErr w:type="spellStart"/>
      <w:r w:rsidRPr="00B548BA">
        <w:t>Ft</w:t>
      </w:r>
      <w:proofErr w:type="spellEnd"/>
      <w:r w:rsidRPr="00B548BA">
        <w:t>, 2</w:t>
      </w:r>
      <w:r w:rsidR="005E3F3F">
        <w:t>716</w:t>
      </w:r>
      <w:r w:rsidRPr="00B548BA">
        <w:t xml:space="preserve"> lm, 3000 ou 4000 K, 13</w:t>
      </w:r>
      <w:r w:rsidR="005E3F3F">
        <w:t>7</w:t>
      </w:r>
      <w:r w:rsidRPr="00B548BA">
        <w:t xml:space="preserve"> lm/W, commandé par télérupteur en éclairage plein flux ou par impulsion en gradation Dali,</w:t>
      </w:r>
    </w:p>
    <w:p w:rsidR="00ED2642" w:rsidRPr="00B548BA" w:rsidRDefault="00ED2642" w:rsidP="00ED2642">
      <w:pPr>
        <w:pStyle w:val="Paragraphedeliste"/>
        <w:numPr>
          <w:ilvl w:val="0"/>
          <w:numId w:val="26"/>
        </w:numPr>
        <w:spacing w:after="0" w:line="240" w:lineRule="auto"/>
        <w:ind w:left="709" w:hanging="425"/>
      </w:pPr>
      <w:r w:rsidRPr="00B548BA">
        <w:t xml:space="preserve">Un éclairage de veille, par un module </w:t>
      </w:r>
      <w:proofErr w:type="spellStart"/>
      <w:r w:rsidRPr="00B548BA">
        <w:t>led</w:t>
      </w:r>
      <w:proofErr w:type="spellEnd"/>
      <w:r w:rsidRPr="00B548BA">
        <w:t xml:space="preserve"> de </w:t>
      </w:r>
      <w:r w:rsidR="00256FD4">
        <w:t>292</w:t>
      </w:r>
      <w:r w:rsidRPr="00B548BA">
        <w:t xml:space="preserve"> lm, </w:t>
      </w:r>
      <w:r w:rsidR="00256FD4">
        <w:t>89.8</w:t>
      </w:r>
      <w:r w:rsidRPr="00B548BA">
        <w:t xml:space="preserve"> lm/W, commandé depuis la porte d’entrée, éclairage plein flux,</w:t>
      </w:r>
    </w:p>
    <w:p w:rsidR="00ED2642" w:rsidRPr="00B548BA" w:rsidRDefault="00ED2642" w:rsidP="00ED2642">
      <w:pPr>
        <w:pStyle w:val="Paragraphedeliste"/>
        <w:numPr>
          <w:ilvl w:val="0"/>
          <w:numId w:val="26"/>
        </w:numPr>
        <w:spacing w:after="0" w:line="240" w:lineRule="auto"/>
        <w:ind w:left="709" w:hanging="425"/>
      </w:pPr>
      <w:r w:rsidRPr="00B548BA">
        <w:t>2 PC 10/16A+T,</w:t>
      </w:r>
    </w:p>
    <w:p w:rsidR="00ED2642" w:rsidRPr="00B548BA" w:rsidRDefault="00ED2642" w:rsidP="004D7C6A">
      <w:pPr>
        <w:pStyle w:val="Corpsdetexte"/>
        <w:numPr>
          <w:ilvl w:val="0"/>
          <w:numId w:val="26"/>
        </w:numPr>
        <w:tabs>
          <w:tab w:val="clear" w:pos="567"/>
        </w:tabs>
        <w:ind w:left="709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548BA">
        <w:rPr>
          <w:rFonts w:asciiTheme="minorHAnsi" w:eastAsiaTheme="minorHAnsi" w:hAnsiTheme="minorHAnsi" w:cstheme="minorBidi"/>
          <w:sz w:val="22"/>
          <w:szCs w:val="22"/>
          <w:lang w:eastAsia="en-US"/>
        </w:rPr>
        <w:t>1 prise téléphone,</w:t>
      </w:r>
    </w:p>
    <w:p w:rsidR="00ED2642" w:rsidRPr="00AD1B6B" w:rsidRDefault="00ED2642" w:rsidP="00ED2642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rPr>
          <w:rFonts w:cstheme="minorHAnsi"/>
        </w:rPr>
      </w:pPr>
      <w:r w:rsidRPr="00AD1B6B">
        <w:rPr>
          <w:rFonts w:cstheme="minorHAnsi"/>
        </w:rPr>
        <w:t>1 prise RJ45,</w:t>
      </w:r>
    </w:p>
    <w:p w:rsidR="00ED2642" w:rsidRDefault="00ED2642" w:rsidP="00ED2642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rPr>
          <w:rFonts w:cstheme="minorHAnsi"/>
        </w:rPr>
      </w:pPr>
      <w:r w:rsidRPr="00AD1B6B">
        <w:rPr>
          <w:rFonts w:cstheme="minorHAnsi"/>
        </w:rPr>
        <w:t>1 prise d’appel infirmière et son manipulateur</w:t>
      </w:r>
      <w:r>
        <w:rPr>
          <w:rFonts w:cstheme="minorHAnsi"/>
        </w:rPr>
        <w:t xml:space="preserve"> intégrant la commande des éclairages et des volets roulants</w:t>
      </w:r>
      <w:r w:rsidRPr="00AD1B6B">
        <w:rPr>
          <w:rFonts w:cstheme="minorHAnsi"/>
        </w:rPr>
        <w:t>,</w:t>
      </w:r>
    </w:p>
    <w:p w:rsidR="00ED2642" w:rsidRPr="00ED2642" w:rsidRDefault="00ED2642" w:rsidP="00257DD0">
      <w:pPr>
        <w:pStyle w:val="Corpsdetexte"/>
        <w:numPr>
          <w:ilvl w:val="0"/>
          <w:numId w:val="26"/>
        </w:numPr>
        <w:tabs>
          <w:tab w:val="clear" w:pos="567"/>
        </w:tabs>
        <w:ind w:left="709" w:hanging="425"/>
        <w:jc w:val="both"/>
        <w:rPr>
          <w:rFonts w:cstheme="minorHAnsi"/>
        </w:rPr>
      </w:pPr>
      <w:r>
        <w:rPr>
          <w:rFonts w:asciiTheme="minorHAnsi" w:hAnsiTheme="minorHAnsi" w:cstheme="minorHAnsi"/>
          <w:sz w:val="22"/>
          <w:szCs w:val="22"/>
        </w:rPr>
        <w:t>1 obturateur.</w:t>
      </w:r>
    </w:p>
    <w:p w:rsidR="00ED2642" w:rsidRPr="00AD1B6B" w:rsidRDefault="00ED2642" w:rsidP="00ED2642">
      <w:pPr>
        <w:spacing w:after="0" w:line="240" w:lineRule="auto"/>
        <w:jc w:val="both"/>
        <w:rPr>
          <w:rFonts w:cstheme="minorHAnsi"/>
        </w:rPr>
      </w:pPr>
    </w:p>
    <w:p w:rsidR="00ED2642" w:rsidRPr="006F453D" w:rsidRDefault="00ED2642" w:rsidP="00ED2642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6F453D">
        <w:rPr>
          <w:rFonts w:cstheme="minorHAnsi"/>
          <w:b/>
          <w:color w:val="4F81BD" w:themeColor="accent1"/>
          <w:sz w:val="28"/>
          <w:szCs w:val="28"/>
        </w:rPr>
        <w:t>Référentiel normatif</w:t>
      </w:r>
    </w:p>
    <w:p w:rsidR="00ED2642" w:rsidRPr="00AD1B6B" w:rsidRDefault="00ED2642" w:rsidP="00ED2642">
      <w:pPr>
        <w:spacing w:after="0" w:line="240" w:lineRule="auto"/>
        <w:ind w:firstLine="284"/>
        <w:jc w:val="both"/>
        <w:rPr>
          <w:rFonts w:cstheme="minorHAnsi"/>
        </w:rPr>
      </w:pPr>
    </w:p>
    <w:p w:rsidR="00ED2642" w:rsidRPr="00AD1B6B" w:rsidRDefault="00ED2642" w:rsidP="00ED2642">
      <w:pPr>
        <w:spacing w:after="0" w:line="240" w:lineRule="auto"/>
        <w:ind w:left="284"/>
        <w:rPr>
          <w:rFonts w:cstheme="minorHAnsi"/>
        </w:rPr>
      </w:pPr>
      <w:r w:rsidRPr="00AD1B6B">
        <w:rPr>
          <w:rFonts w:cstheme="minorHAnsi"/>
        </w:rPr>
        <w:t>L</w:t>
      </w:r>
      <w:r w:rsidR="00AA01EC">
        <w:rPr>
          <w:rFonts w:cstheme="minorHAnsi"/>
        </w:rPr>
        <w:t>’applique d’éclairage</w:t>
      </w:r>
      <w:r w:rsidRPr="00AD1B6B">
        <w:rPr>
          <w:rFonts w:cstheme="minorHAnsi"/>
        </w:rPr>
        <w:t xml:space="preserve"> entièrement fabriquée en usine respectera les normes</w:t>
      </w:r>
      <w:r>
        <w:rPr>
          <w:rFonts w:cstheme="minorHAnsi"/>
        </w:rPr>
        <w:t>, directive</w:t>
      </w:r>
      <w:r w:rsidR="001415C8">
        <w:rPr>
          <w:rFonts w:cstheme="minorHAnsi"/>
        </w:rPr>
        <w:t>s</w:t>
      </w:r>
      <w:r>
        <w:rPr>
          <w:rFonts w:cstheme="minorHAnsi"/>
        </w:rPr>
        <w:t xml:space="preserve"> et recommandations</w:t>
      </w:r>
      <w:r w:rsidRPr="00AD1B6B">
        <w:rPr>
          <w:rFonts w:cstheme="minorHAnsi"/>
        </w:rPr>
        <w:t xml:space="preserve"> </w:t>
      </w:r>
      <w:r>
        <w:rPr>
          <w:rFonts w:cstheme="minorHAnsi"/>
        </w:rPr>
        <w:t>suivantes :</w:t>
      </w:r>
    </w:p>
    <w:p w:rsidR="00ED2642" w:rsidRPr="00AD1B6B" w:rsidRDefault="00ED2642" w:rsidP="00AA01EC">
      <w:pPr>
        <w:pStyle w:val="Paragraphedeliste"/>
        <w:numPr>
          <w:ilvl w:val="0"/>
          <w:numId w:val="27"/>
        </w:numPr>
        <w:spacing w:after="0" w:line="240" w:lineRule="auto"/>
        <w:ind w:left="709" w:hanging="425"/>
        <w:rPr>
          <w:rFonts w:cstheme="minorHAnsi"/>
        </w:rPr>
      </w:pPr>
      <w:r w:rsidRPr="00AD1B6B">
        <w:rPr>
          <w:rFonts w:cstheme="minorHAnsi"/>
        </w:rPr>
        <w:t>Marquage CE conformé</w:t>
      </w:r>
      <w:r>
        <w:rPr>
          <w:rFonts w:cstheme="minorHAnsi"/>
        </w:rPr>
        <w:t xml:space="preserve">ment à la directive </w:t>
      </w:r>
      <w:r w:rsidR="00AA01EC">
        <w:rPr>
          <w:rFonts w:cstheme="minorHAnsi"/>
        </w:rPr>
        <w:t>2014/35/UE</w:t>
      </w:r>
      <w:r>
        <w:rPr>
          <w:rFonts w:cstheme="minorHAnsi"/>
        </w:rPr>
        <w:t xml:space="preserve"> « </w:t>
      </w:r>
      <w:r w:rsidR="00AA01EC">
        <w:rPr>
          <w:rFonts w:cstheme="minorHAnsi"/>
        </w:rPr>
        <w:t>basse tension</w:t>
      </w:r>
      <w:r w:rsidRPr="00AD1B6B">
        <w:rPr>
          <w:rFonts w:cstheme="minorHAnsi"/>
        </w:rPr>
        <w:t xml:space="preserve"> »</w:t>
      </w:r>
      <w:r w:rsidR="00AA01EC">
        <w:rPr>
          <w:rFonts w:cstheme="minorHAnsi"/>
        </w:rPr>
        <w:t xml:space="preserve"> et 2014/30/UE « CEM »</w:t>
      </w:r>
      <w:r w:rsidRPr="00AD1B6B">
        <w:rPr>
          <w:rFonts w:cstheme="minorHAnsi"/>
        </w:rPr>
        <w:t>,</w:t>
      </w:r>
    </w:p>
    <w:p w:rsidR="00ED2642" w:rsidRPr="00AD1B6B" w:rsidRDefault="00ED2642" w:rsidP="00AA01EC">
      <w:pPr>
        <w:pStyle w:val="Paragraphedeliste"/>
        <w:numPr>
          <w:ilvl w:val="0"/>
          <w:numId w:val="27"/>
        </w:numPr>
        <w:spacing w:after="0" w:line="240" w:lineRule="auto"/>
        <w:ind w:hanging="76"/>
        <w:rPr>
          <w:rFonts w:cstheme="minorHAnsi"/>
        </w:rPr>
      </w:pPr>
      <w:r w:rsidRPr="00AD1B6B">
        <w:rPr>
          <w:rFonts w:cstheme="minorHAnsi"/>
        </w:rPr>
        <w:t xml:space="preserve">EN </w:t>
      </w:r>
      <w:r w:rsidR="00AA01EC">
        <w:rPr>
          <w:rFonts w:cstheme="minorHAnsi"/>
        </w:rPr>
        <w:t>60598-1</w:t>
      </w:r>
      <w:r w:rsidRPr="00AD1B6B">
        <w:rPr>
          <w:rFonts w:cstheme="minorHAnsi"/>
        </w:rPr>
        <w:t xml:space="preserve">: </w:t>
      </w:r>
      <w:r w:rsidR="00AA01EC">
        <w:rPr>
          <w:rFonts w:cstheme="minorHAnsi"/>
        </w:rPr>
        <w:t>L</w:t>
      </w:r>
      <w:r w:rsidR="00AA01EC" w:rsidRPr="00AA01EC">
        <w:rPr>
          <w:rFonts w:cstheme="minorHAnsi"/>
        </w:rPr>
        <w:t>uminaires 1</w:t>
      </w:r>
      <w:r w:rsidR="001415C8">
        <w:rPr>
          <w:rFonts w:cstheme="minorHAnsi"/>
        </w:rPr>
        <w:t xml:space="preserve">ére </w:t>
      </w:r>
      <w:r w:rsidR="00AA01EC" w:rsidRPr="00AA01EC">
        <w:rPr>
          <w:rFonts w:cstheme="minorHAnsi"/>
        </w:rPr>
        <w:t>partie règles générales et généralités sur les essais</w:t>
      </w:r>
      <w:r w:rsidRPr="00AD1B6B">
        <w:rPr>
          <w:rFonts w:cstheme="minorHAnsi"/>
        </w:rPr>
        <w:t>,</w:t>
      </w:r>
    </w:p>
    <w:p w:rsidR="00ED2642" w:rsidRPr="00AD1B6B" w:rsidRDefault="00ED2642" w:rsidP="00AA01EC">
      <w:pPr>
        <w:pStyle w:val="Paragraphedeliste"/>
        <w:numPr>
          <w:ilvl w:val="0"/>
          <w:numId w:val="27"/>
        </w:numPr>
        <w:spacing w:after="0" w:line="240" w:lineRule="auto"/>
        <w:ind w:left="709" w:hanging="425"/>
        <w:rPr>
          <w:rFonts w:cstheme="minorHAnsi"/>
        </w:rPr>
      </w:pPr>
      <w:r w:rsidRPr="00AD1B6B">
        <w:rPr>
          <w:rFonts w:cstheme="minorHAnsi"/>
        </w:rPr>
        <w:t xml:space="preserve">EN </w:t>
      </w:r>
      <w:r w:rsidR="00AA01EC">
        <w:rPr>
          <w:rFonts w:cstheme="minorHAnsi"/>
        </w:rPr>
        <w:t>60598-2-25</w:t>
      </w:r>
      <w:r w:rsidRPr="00AD1B6B">
        <w:rPr>
          <w:rFonts w:cstheme="minorHAnsi"/>
        </w:rPr>
        <w:t xml:space="preserve">: </w:t>
      </w:r>
      <w:r w:rsidR="00AA01EC">
        <w:rPr>
          <w:rFonts w:cstheme="minorHAnsi"/>
        </w:rPr>
        <w:t>L</w:t>
      </w:r>
      <w:r w:rsidR="00AA01EC" w:rsidRPr="00AA01EC">
        <w:rPr>
          <w:rFonts w:cstheme="minorHAnsi"/>
        </w:rPr>
        <w:t>uminaires pour les unités de soins des hôpitaux et les maisons de sant</w:t>
      </w:r>
      <w:r w:rsidR="00AA01EC">
        <w:rPr>
          <w:rFonts w:cstheme="minorHAnsi"/>
        </w:rPr>
        <w:t>é</w:t>
      </w:r>
      <w:r w:rsidRPr="00AD1B6B">
        <w:rPr>
          <w:rFonts w:cstheme="minorHAnsi"/>
        </w:rPr>
        <w:t>,</w:t>
      </w:r>
    </w:p>
    <w:p w:rsidR="00ED2642" w:rsidRPr="00A6611D" w:rsidRDefault="00ED2642" w:rsidP="00AA01EC">
      <w:pPr>
        <w:pStyle w:val="Paragraphedeliste"/>
        <w:numPr>
          <w:ilvl w:val="0"/>
          <w:numId w:val="27"/>
        </w:numPr>
        <w:spacing w:after="0" w:line="240" w:lineRule="auto"/>
        <w:ind w:left="709" w:hanging="425"/>
        <w:rPr>
          <w:rFonts w:cstheme="minorHAnsi"/>
        </w:rPr>
      </w:pPr>
      <w:r w:rsidRPr="00AD1B6B">
        <w:rPr>
          <w:rFonts w:cstheme="minorHAnsi"/>
        </w:rPr>
        <w:t>Recommandations AFE relatives à l’éclairage des établissements de santé.</w:t>
      </w:r>
    </w:p>
    <w:p w:rsidR="00ED2642" w:rsidRDefault="00ED2642" w:rsidP="00ED2642">
      <w:pPr>
        <w:spacing w:after="0" w:line="240" w:lineRule="auto"/>
        <w:ind w:firstLine="284"/>
        <w:rPr>
          <w:rFonts w:cstheme="minorHAnsi"/>
        </w:rPr>
      </w:pPr>
    </w:p>
    <w:p w:rsidR="00ED2642" w:rsidRPr="00AD1B6B" w:rsidRDefault="00ED2642" w:rsidP="00ED2642">
      <w:pPr>
        <w:spacing w:after="0" w:line="240" w:lineRule="auto"/>
        <w:ind w:firstLine="284"/>
        <w:rPr>
          <w:rFonts w:cstheme="minorHAnsi"/>
        </w:rPr>
      </w:pPr>
      <w:r w:rsidRPr="00AD1B6B">
        <w:rPr>
          <w:rFonts w:cstheme="minorHAnsi"/>
        </w:rPr>
        <w:t>Le fabricant s’engage à</w:t>
      </w:r>
      <w:r>
        <w:rPr>
          <w:rFonts w:cstheme="minorHAnsi"/>
        </w:rPr>
        <w:t> :</w:t>
      </w:r>
    </w:p>
    <w:p w:rsidR="00ED2642" w:rsidRPr="00AD1B6B" w:rsidRDefault="00ED2642" w:rsidP="00ED2642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Fournir </w:t>
      </w:r>
      <w:r w:rsidR="00AA01EC">
        <w:rPr>
          <w:rFonts w:cstheme="minorHAnsi"/>
        </w:rPr>
        <w:t xml:space="preserve">à la demande </w:t>
      </w:r>
      <w:r w:rsidR="00AA01EC" w:rsidRPr="0011368A">
        <w:rPr>
          <w:rFonts w:cstheme="minorHAnsi"/>
        </w:rPr>
        <w:t>le procès-verbal de tests de sécurité électrique selon EN 60598-1</w:t>
      </w:r>
      <w:r w:rsidR="001415C8" w:rsidRPr="0011368A">
        <w:rPr>
          <w:rFonts w:cstheme="minorHAnsi"/>
        </w:rPr>
        <w:t xml:space="preserve"> « Essai</w:t>
      </w:r>
      <w:r w:rsidR="00AA01EC" w:rsidRPr="0011368A">
        <w:rPr>
          <w:rFonts w:cstheme="minorHAnsi"/>
        </w:rPr>
        <w:t xml:space="preserve"> de conformité suivant l’annexe </w:t>
      </w:r>
      <w:r w:rsidR="001415C8" w:rsidRPr="0011368A">
        <w:rPr>
          <w:rFonts w:cstheme="minorHAnsi"/>
        </w:rPr>
        <w:t>Q »</w:t>
      </w:r>
      <w:r w:rsidR="001415C8">
        <w:rPr>
          <w:rFonts w:cstheme="minorHAnsi"/>
        </w:rPr>
        <w:t>,</w:t>
      </w:r>
    </w:p>
    <w:p w:rsidR="00ED2642" w:rsidRPr="00AD1B6B" w:rsidRDefault="00ED2642" w:rsidP="00ED2642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Fournir à la demande </w:t>
      </w:r>
      <w:r w:rsidRPr="00AD1B6B">
        <w:rPr>
          <w:rFonts w:cstheme="minorHAnsi"/>
        </w:rPr>
        <w:t>la preuve du respect des exigences de compatibilités électromagnétiques,</w:t>
      </w:r>
    </w:p>
    <w:p w:rsidR="00ED2642" w:rsidRDefault="00ED2642" w:rsidP="00ED2642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 xml:space="preserve">Fournir </w:t>
      </w:r>
      <w:r w:rsidRPr="00AD1B6B">
        <w:rPr>
          <w:rFonts w:cstheme="minorHAnsi"/>
        </w:rPr>
        <w:t>l</w:t>
      </w:r>
      <w:r w:rsidR="00AA01EC">
        <w:rPr>
          <w:rFonts w:cstheme="minorHAnsi"/>
        </w:rPr>
        <w:t>a déclaration UE de conformité aux directiv</w:t>
      </w:r>
      <w:r w:rsidRPr="00AD1B6B">
        <w:rPr>
          <w:rFonts w:cstheme="minorHAnsi"/>
        </w:rPr>
        <w:t>e</w:t>
      </w:r>
      <w:r w:rsidR="00AA01EC">
        <w:rPr>
          <w:rFonts w:cstheme="minorHAnsi"/>
        </w:rPr>
        <w:t>s applicables</w:t>
      </w:r>
      <w:r w:rsidRPr="00AD1B6B">
        <w:rPr>
          <w:rFonts w:cstheme="minorHAnsi"/>
        </w:rPr>
        <w:t>,</w:t>
      </w:r>
    </w:p>
    <w:p w:rsidR="00ED2642" w:rsidRDefault="001415C8" w:rsidP="001415C8">
      <w:pPr>
        <w:pStyle w:val="Paragraphedeliste"/>
        <w:numPr>
          <w:ilvl w:val="0"/>
          <w:numId w:val="28"/>
        </w:numPr>
        <w:spacing w:after="0" w:line="240" w:lineRule="auto"/>
        <w:ind w:left="709" w:hanging="425"/>
        <w:rPr>
          <w:rFonts w:cstheme="minorHAnsi"/>
        </w:rPr>
      </w:pPr>
      <w:r w:rsidRPr="001415C8">
        <w:rPr>
          <w:rFonts w:cstheme="minorHAnsi"/>
        </w:rPr>
        <w:t>Fournir à la demande les études d’éclairage pour l’ambiance, la lecture et l’éclairage de soins dans le contexte d’implantation du matériel (si nécessaire un essai sera effectué sur la chambre témoin)</w:t>
      </w:r>
      <w:r w:rsidR="00ED2642" w:rsidRPr="00AD1B6B">
        <w:rPr>
          <w:rFonts w:cstheme="minorHAnsi"/>
        </w:rPr>
        <w:t>.</w:t>
      </w:r>
    </w:p>
    <w:p w:rsidR="00B70CCC" w:rsidRDefault="00B70CCC" w:rsidP="00ED2642">
      <w:pPr>
        <w:spacing w:after="0" w:line="240" w:lineRule="auto"/>
        <w:ind w:firstLine="284"/>
        <w:jc w:val="both"/>
        <w:rPr>
          <w:rFonts w:cstheme="minorHAnsi"/>
        </w:rPr>
      </w:pPr>
    </w:p>
    <w:p w:rsidR="00ED2642" w:rsidRDefault="00ED2642" w:rsidP="00B70CCC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Le matériel sera livré avec la notice d'instructions détaillant les opérations de montage, d'</w:t>
      </w:r>
      <w:r w:rsidR="00F10811">
        <w:rPr>
          <w:rFonts w:cstheme="minorHAnsi"/>
        </w:rPr>
        <w:t>utilisation</w:t>
      </w:r>
      <w:r w:rsidRPr="00AD1B6B">
        <w:rPr>
          <w:rFonts w:cstheme="minorHAnsi"/>
        </w:rPr>
        <w:t xml:space="preserve"> et de maintenance</w:t>
      </w:r>
      <w:r w:rsidR="00AA01EC">
        <w:rPr>
          <w:rFonts w:cstheme="minorHAnsi"/>
        </w:rPr>
        <w:t>.</w:t>
      </w:r>
    </w:p>
    <w:sectPr w:rsidR="00ED2642" w:rsidSect="00971300">
      <w:headerReference w:type="default" r:id="rId9"/>
      <w:footerReference w:type="default" r:id="rId10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11D" w:rsidRDefault="00A6611D" w:rsidP="00D74934">
      <w:pPr>
        <w:spacing w:after="0" w:line="240" w:lineRule="auto"/>
      </w:pPr>
      <w:r>
        <w:separator/>
      </w:r>
    </w:p>
  </w:endnote>
  <w:endnote w:type="continuationSeparator" w:id="0">
    <w:p w:rsidR="00A6611D" w:rsidRDefault="00A6611D" w:rsidP="00D7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11D" w:rsidRPr="00B028E8" w:rsidRDefault="00A6611D" w:rsidP="00256FD4">
    <w:pPr>
      <w:pStyle w:val="Pieddepage"/>
      <w:pBdr>
        <w:top w:val="thinThickSmallGap" w:sz="24" w:space="1" w:color="000000" w:themeColor="text1"/>
      </w:pBdr>
    </w:pPr>
    <w:r>
      <w:rPr>
        <w:rFonts w:eastAsiaTheme="majorEastAsia" w:cstheme="minorHAnsi"/>
      </w:rPr>
      <w:t>R</w:t>
    </w:r>
    <w:r w:rsidR="00B14A48">
      <w:rPr>
        <w:rFonts w:eastAsiaTheme="majorEastAsia" w:cstheme="minorHAnsi"/>
      </w:rPr>
      <w:t>EV 0</w:t>
    </w:r>
    <w:r w:rsidR="00256FD4">
      <w:rPr>
        <w:rFonts w:eastAsiaTheme="majorEastAsia" w:cstheme="minorHAnsi"/>
      </w:rPr>
      <w:t>2</w:t>
    </w:r>
    <w:r w:rsidR="00B14A48">
      <w:rPr>
        <w:rFonts w:eastAsiaTheme="majorEastAsia" w:cstheme="minorHAnsi"/>
      </w:rPr>
      <w:t>-</w:t>
    </w:r>
    <w:r w:rsidR="00256FD4">
      <w:rPr>
        <w:rFonts w:eastAsiaTheme="majorEastAsia" w:cstheme="minorHAnsi"/>
      </w:rPr>
      <w:t>08</w:t>
    </w:r>
    <w:r w:rsidR="00B14A48">
      <w:rPr>
        <w:rFonts w:eastAsiaTheme="majorEastAsia" w:cstheme="minorHAnsi"/>
      </w:rPr>
      <w:t>.</w:t>
    </w:r>
    <w:r w:rsidR="005E3F3F">
      <w:rPr>
        <w:rFonts w:eastAsiaTheme="majorEastAsia" w:cstheme="minorHAnsi"/>
      </w:rPr>
      <w:t>0</w:t>
    </w:r>
    <w:r w:rsidR="00256FD4">
      <w:rPr>
        <w:rFonts w:eastAsiaTheme="majorEastAsia" w:cstheme="minorHAnsi"/>
      </w:rPr>
      <w:t>8</w:t>
    </w:r>
    <w:r w:rsidR="005E3F3F">
      <w:rPr>
        <w:rFonts w:eastAsiaTheme="majorEastAsia" w:cstheme="minorHAnsi"/>
      </w:rPr>
      <w:t>.2</w:t>
    </w:r>
    <w:r w:rsidR="00256FD4">
      <w:rPr>
        <w:rFonts w:eastAsiaTheme="majorEastAsia" w:cstheme="minorHAnsi"/>
      </w:rPr>
      <w:t>0</w:t>
    </w:r>
    <w:r w:rsidR="005E3F3F">
      <w:rPr>
        <w:rFonts w:eastAsiaTheme="majorEastAsia" w:cstheme="minorHAnsi"/>
      </w:rPr>
      <w:t>2</w:t>
    </w:r>
    <w:r w:rsidR="00256FD4">
      <w:rPr>
        <w:rFonts w:eastAsiaTheme="majorEastAsia" w:cstheme="minorHAnsi"/>
      </w:rPr>
      <w:t>3</w:t>
    </w:r>
    <w:r w:rsidRPr="00BF3847">
      <w:rPr>
        <w:rFonts w:eastAsiaTheme="majorEastAsia" w:cstheme="minorHAnsi"/>
      </w:rPr>
      <w:ptab w:relativeTo="margin" w:alignment="right" w:leader="none"/>
    </w:r>
    <w:r w:rsidRPr="00BF3847">
      <w:rPr>
        <w:rFonts w:eastAsiaTheme="majorEastAsia" w:cstheme="minorHAnsi"/>
      </w:rPr>
      <w:t xml:space="preserve">Page </w:t>
    </w:r>
    <w:r w:rsidRPr="00BF3847">
      <w:rPr>
        <w:rFonts w:eastAsiaTheme="minorEastAsia" w:cstheme="minorHAnsi"/>
      </w:rPr>
      <w:fldChar w:fldCharType="begin"/>
    </w:r>
    <w:r w:rsidRPr="00BF3847">
      <w:rPr>
        <w:rFonts w:cstheme="minorHAnsi"/>
      </w:rPr>
      <w:instrText>PAGE   \* MERGEFORMAT</w:instrText>
    </w:r>
    <w:r w:rsidRPr="00BF3847">
      <w:rPr>
        <w:rFonts w:eastAsiaTheme="minorEastAsia" w:cstheme="minorHAnsi"/>
      </w:rPr>
      <w:fldChar w:fldCharType="separate"/>
    </w:r>
    <w:r w:rsidR="0048159E" w:rsidRPr="0048159E">
      <w:rPr>
        <w:rFonts w:eastAsiaTheme="majorEastAsia" w:cstheme="minorHAnsi"/>
        <w:noProof/>
      </w:rPr>
      <w:t>3</w:t>
    </w:r>
    <w:r w:rsidRPr="00BF3847">
      <w:rPr>
        <w:rFonts w:eastAsiaTheme="majorEastAsia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11D" w:rsidRDefault="00A6611D" w:rsidP="00D74934">
      <w:pPr>
        <w:spacing w:after="0" w:line="240" w:lineRule="auto"/>
      </w:pPr>
      <w:r>
        <w:separator/>
      </w:r>
    </w:p>
  </w:footnote>
  <w:footnote w:type="continuationSeparator" w:id="0">
    <w:p w:rsidR="00A6611D" w:rsidRDefault="00A6611D" w:rsidP="00D7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11D" w:rsidRDefault="00726C1F">
    <w:pPr>
      <w:pStyle w:val="En-tte"/>
    </w:pPr>
    <w:r>
      <w:rPr>
        <w:noProof/>
        <w:lang w:eastAsia="fr-FR"/>
      </w:rPr>
      <w:drawing>
        <wp:inline distT="0" distB="0" distL="0" distR="0">
          <wp:extent cx="1800000" cy="30849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LV-FOND-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08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E33"/>
    <w:multiLevelType w:val="hybridMultilevel"/>
    <w:tmpl w:val="1F38E858"/>
    <w:lvl w:ilvl="0" w:tplc="53B0D8EC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A1716F"/>
    <w:multiLevelType w:val="hybridMultilevel"/>
    <w:tmpl w:val="CF0C9CBC"/>
    <w:lvl w:ilvl="0" w:tplc="094040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03F35"/>
    <w:multiLevelType w:val="hybridMultilevel"/>
    <w:tmpl w:val="97E6B9E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0CE551B"/>
    <w:multiLevelType w:val="hybridMultilevel"/>
    <w:tmpl w:val="F8CC2C0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1190D66"/>
    <w:multiLevelType w:val="hybridMultilevel"/>
    <w:tmpl w:val="8A9E39D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3112064"/>
    <w:multiLevelType w:val="hybridMultilevel"/>
    <w:tmpl w:val="BFCC84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275372"/>
    <w:multiLevelType w:val="hybridMultilevel"/>
    <w:tmpl w:val="E222D54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5BF774E"/>
    <w:multiLevelType w:val="hybridMultilevel"/>
    <w:tmpl w:val="984AB2E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7C2145D"/>
    <w:multiLevelType w:val="hybridMultilevel"/>
    <w:tmpl w:val="C1460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D1D35"/>
    <w:multiLevelType w:val="hybridMultilevel"/>
    <w:tmpl w:val="431E44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F60F8E"/>
    <w:multiLevelType w:val="hybridMultilevel"/>
    <w:tmpl w:val="B6D0C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53E2E"/>
    <w:multiLevelType w:val="hybridMultilevel"/>
    <w:tmpl w:val="3D6A6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D07D4"/>
    <w:multiLevelType w:val="hybridMultilevel"/>
    <w:tmpl w:val="EB6E73B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260781A"/>
    <w:multiLevelType w:val="hybridMultilevel"/>
    <w:tmpl w:val="9264A7B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2AB2491"/>
    <w:multiLevelType w:val="hybridMultilevel"/>
    <w:tmpl w:val="8C369E86"/>
    <w:lvl w:ilvl="0" w:tplc="53B0D8EC">
      <w:numFmt w:val="bullet"/>
      <w:lvlText w:val="-"/>
      <w:lvlJc w:val="left"/>
      <w:pPr>
        <w:ind w:left="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29531CD4"/>
    <w:multiLevelType w:val="hybridMultilevel"/>
    <w:tmpl w:val="7194BA24"/>
    <w:lvl w:ilvl="0" w:tplc="040C000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6" w15:restartNumberingAfterBreak="0">
    <w:nsid w:val="2BF17C6D"/>
    <w:multiLevelType w:val="hybridMultilevel"/>
    <w:tmpl w:val="4566EBA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CA7C3B"/>
    <w:multiLevelType w:val="hybridMultilevel"/>
    <w:tmpl w:val="83003644"/>
    <w:lvl w:ilvl="0" w:tplc="53B0D8EC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0753E01"/>
    <w:multiLevelType w:val="hybridMultilevel"/>
    <w:tmpl w:val="BB40407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150040F"/>
    <w:multiLevelType w:val="hybridMultilevel"/>
    <w:tmpl w:val="E598B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7335B2"/>
    <w:multiLevelType w:val="hybridMultilevel"/>
    <w:tmpl w:val="65D40CE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AA6264"/>
    <w:multiLevelType w:val="hybridMultilevel"/>
    <w:tmpl w:val="C0644B3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7E91D36"/>
    <w:multiLevelType w:val="hybridMultilevel"/>
    <w:tmpl w:val="9D7C2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7421E"/>
    <w:multiLevelType w:val="hybridMultilevel"/>
    <w:tmpl w:val="8656F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E1AAE"/>
    <w:multiLevelType w:val="hybridMultilevel"/>
    <w:tmpl w:val="93F0C46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464212A7"/>
    <w:multiLevelType w:val="hybridMultilevel"/>
    <w:tmpl w:val="7FD0B7E2"/>
    <w:lvl w:ilvl="0" w:tplc="040C0001">
      <w:start w:val="1"/>
      <w:numFmt w:val="bullet"/>
      <w:lvlText w:val=""/>
      <w:lvlJc w:val="left"/>
      <w:pPr>
        <w:ind w:left="4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26" w15:restartNumberingAfterBreak="0">
    <w:nsid w:val="4B734969"/>
    <w:multiLevelType w:val="hybridMultilevel"/>
    <w:tmpl w:val="2252EA20"/>
    <w:lvl w:ilvl="0" w:tplc="040C0001">
      <w:start w:val="1"/>
      <w:numFmt w:val="bullet"/>
      <w:lvlText w:val=""/>
      <w:lvlJc w:val="left"/>
      <w:pPr>
        <w:ind w:left="15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</w:abstractNum>
  <w:abstractNum w:abstractNumId="27" w15:restartNumberingAfterBreak="0">
    <w:nsid w:val="4C48328F"/>
    <w:multiLevelType w:val="hybridMultilevel"/>
    <w:tmpl w:val="952C381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46C771E"/>
    <w:multiLevelType w:val="hybridMultilevel"/>
    <w:tmpl w:val="0AFCA34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594A35E4"/>
    <w:multiLevelType w:val="hybridMultilevel"/>
    <w:tmpl w:val="4DCCF96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9BC3915"/>
    <w:multiLevelType w:val="hybridMultilevel"/>
    <w:tmpl w:val="3620D06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5A1813A7"/>
    <w:multiLevelType w:val="hybridMultilevel"/>
    <w:tmpl w:val="5010DC08"/>
    <w:lvl w:ilvl="0" w:tplc="D9CAA5BA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BE2C49"/>
    <w:multiLevelType w:val="hybridMultilevel"/>
    <w:tmpl w:val="6B3EBD16"/>
    <w:lvl w:ilvl="0" w:tplc="53B0D8EC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58D0E90"/>
    <w:multiLevelType w:val="hybridMultilevel"/>
    <w:tmpl w:val="A8CC3A0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7527C81"/>
    <w:multiLevelType w:val="hybridMultilevel"/>
    <w:tmpl w:val="946EE2B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80B34"/>
    <w:multiLevelType w:val="hybridMultilevel"/>
    <w:tmpl w:val="0FAC84AE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6" w15:restartNumberingAfterBreak="0">
    <w:nsid w:val="71AE7C31"/>
    <w:multiLevelType w:val="hybridMultilevel"/>
    <w:tmpl w:val="52A6F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B12BC8"/>
    <w:multiLevelType w:val="hybridMultilevel"/>
    <w:tmpl w:val="C3169C3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3C7694B"/>
    <w:multiLevelType w:val="hybridMultilevel"/>
    <w:tmpl w:val="52C01D2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E513D09"/>
    <w:multiLevelType w:val="hybridMultilevel"/>
    <w:tmpl w:val="8A068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8"/>
  </w:num>
  <w:num w:numId="4">
    <w:abstractNumId w:val="23"/>
  </w:num>
  <w:num w:numId="5">
    <w:abstractNumId w:val="39"/>
  </w:num>
  <w:num w:numId="6">
    <w:abstractNumId w:val="31"/>
  </w:num>
  <w:num w:numId="7">
    <w:abstractNumId w:val="1"/>
  </w:num>
  <w:num w:numId="8">
    <w:abstractNumId w:val="9"/>
  </w:num>
  <w:num w:numId="9">
    <w:abstractNumId w:val="25"/>
  </w:num>
  <w:num w:numId="10">
    <w:abstractNumId w:val="26"/>
  </w:num>
  <w:num w:numId="11">
    <w:abstractNumId w:val="22"/>
  </w:num>
  <w:num w:numId="12">
    <w:abstractNumId w:val="14"/>
  </w:num>
  <w:num w:numId="13">
    <w:abstractNumId w:val="19"/>
  </w:num>
  <w:num w:numId="14">
    <w:abstractNumId w:val="27"/>
  </w:num>
  <w:num w:numId="15">
    <w:abstractNumId w:val="2"/>
  </w:num>
  <w:num w:numId="16">
    <w:abstractNumId w:val="3"/>
  </w:num>
  <w:num w:numId="17">
    <w:abstractNumId w:val="7"/>
  </w:num>
  <w:num w:numId="18">
    <w:abstractNumId w:val="0"/>
  </w:num>
  <w:num w:numId="19">
    <w:abstractNumId w:val="32"/>
  </w:num>
  <w:num w:numId="20">
    <w:abstractNumId w:val="17"/>
  </w:num>
  <w:num w:numId="21">
    <w:abstractNumId w:val="24"/>
  </w:num>
  <w:num w:numId="22">
    <w:abstractNumId w:val="35"/>
  </w:num>
  <w:num w:numId="23">
    <w:abstractNumId w:val="29"/>
  </w:num>
  <w:num w:numId="24">
    <w:abstractNumId w:val="18"/>
  </w:num>
  <w:num w:numId="25">
    <w:abstractNumId w:val="33"/>
  </w:num>
  <w:num w:numId="26">
    <w:abstractNumId w:val="5"/>
  </w:num>
  <w:num w:numId="27">
    <w:abstractNumId w:val="20"/>
  </w:num>
  <w:num w:numId="28">
    <w:abstractNumId w:val="16"/>
  </w:num>
  <w:num w:numId="29">
    <w:abstractNumId w:val="36"/>
  </w:num>
  <w:num w:numId="30">
    <w:abstractNumId w:val="10"/>
  </w:num>
  <w:num w:numId="31">
    <w:abstractNumId w:val="38"/>
  </w:num>
  <w:num w:numId="32">
    <w:abstractNumId w:val="13"/>
  </w:num>
  <w:num w:numId="33">
    <w:abstractNumId w:val="34"/>
  </w:num>
  <w:num w:numId="34">
    <w:abstractNumId w:val="30"/>
  </w:num>
  <w:num w:numId="35">
    <w:abstractNumId w:val="4"/>
  </w:num>
  <w:num w:numId="36">
    <w:abstractNumId w:val="12"/>
  </w:num>
  <w:num w:numId="37">
    <w:abstractNumId w:val="37"/>
  </w:num>
  <w:num w:numId="38">
    <w:abstractNumId w:val="6"/>
  </w:num>
  <w:num w:numId="39">
    <w:abstractNumId w:val="21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70"/>
    <w:rsid w:val="00001817"/>
    <w:rsid w:val="00013774"/>
    <w:rsid w:val="00016A7A"/>
    <w:rsid w:val="00056D4F"/>
    <w:rsid w:val="00093C5A"/>
    <w:rsid w:val="00094870"/>
    <w:rsid w:val="000F635D"/>
    <w:rsid w:val="0010094B"/>
    <w:rsid w:val="00123EAE"/>
    <w:rsid w:val="001415C8"/>
    <w:rsid w:val="00170B7D"/>
    <w:rsid w:val="001A3AE8"/>
    <w:rsid w:val="001A5107"/>
    <w:rsid w:val="001C27AF"/>
    <w:rsid w:val="001F2786"/>
    <w:rsid w:val="00210EA5"/>
    <w:rsid w:val="00212847"/>
    <w:rsid w:val="00222A65"/>
    <w:rsid w:val="00226532"/>
    <w:rsid w:val="00252E56"/>
    <w:rsid w:val="00253DAC"/>
    <w:rsid w:val="00256FD4"/>
    <w:rsid w:val="00276385"/>
    <w:rsid w:val="002A1DFD"/>
    <w:rsid w:val="002B41FB"/>
    <w:rsid w:val="002C2DEC"/>
    <w:rsid w:val="002D0F40"/>
    <w:rsid w:val="002D38F0"/>
    <w:rsid w:val="003111E8"/>
    <w:rsid w:val="003627BB"/>
    <w:rsid w:val="00373521"/>
    <w:rsid w:val="0037422C"/>
    <w:rsid w:val="0038465F"/>
    <w:rsid w:val="00385F31"/>
    <w:rsid w:val="00394E72"/>
    <w:rsid w:val="003A076B"/>
    <w:rsid w:val="003B05E7"/>
    <w:rsid w:val="003D7586"/>
    <w:rsid w:val="003E722A"/>
    <w:rsid w:val="004058EA"/>
    <w:rsid w:val="00407BFC"/>
    <w:rsid w:val="00421958"/>
    <w:rsid w:val="00465BE1"/>
    <w:rsid w:val="00466ED7"/>
    <w:rsid w:val="004672C1"/>
    <w:rsid w:val="0048159E"/>
    <w:rsid w:val="004B4F5C"/>
    <w:rsid w:val="004D244B"/>
    <w:rsid w:val="004F6900"/>
    <w:rsid w:val="00512F9B"/>
    <w:rsid w:val="00543DF6"/>
    <w:rsid w:val="00545A3A"/>
    <w:rsid w:val="0054686D"/>
    <w:rsid w:val="00583AA5"/>
    <w:rsid w:val="005903D4"/>
    <w:rsid w:val="005B22F6"/>
    <w:rsid w:val="005C4DCC"/>
    <w:rsid w:val="005D3EFA"/>
    <w:rsid w:val="005E3F3F"/>
    <w:rsid w:val="005E59D9"/>
    <w:rsid w:val="00607E11"/>
    <w:rsid w:val="006166FC"/>
    <w:rsid w:val="006603F7"/>
    <w:rsid w:val="006654D8"/>
    <w:rsid w:val="00675745"/>
    <w:rsid w:val="006A2794"/>
    <w:rsid w:val="006B1A3F"/>
    <w:rsid w:val="006F453D"/>
    <w:rsid w:val="00726C1F"/>
    <w:rsid w:val="007649CC"/>
    <w:rsid w:val="0078430B"/>
    <w:rsid w:val="007D63B5"/>
    <w:rsid w:val="00815A00"/>
    <w:rsid w:val="008357ED"/>
    <w:rsid w:val="0087621B"/>
    <w:rsid w:val="008D53D2"/>
    <w:rsid w:val="008F34E5"/>
    <w:rsid w:val="008F6C1F"/>
    <w:rsid w:val="00900B1E"/>
    <w:rsid w:val="0092068D"/>
    <w:rsid w:val="00933B25"/>
    <w:rsid w:val="0095652B"/>
    <w:rsid w:val="00971300"/>
    <w:rsid w:val="009C1BC5"/>
    <w:rsid w:val="009D4AC8"/>
    <w:rsid w:val="00A116AC"/>
    <w:rsid w:val="00A1321D"/>
    <w:rsid w:val="00A6611D"/>
    <w:rsid w:val="00A83DE1"/>
    <w:rsid w:val="00AA01EC"/>
    <w:rsid w:val="00AA3C30"/>
    <w:rsid w:val="00AB7B03"/>
    <w:rsid w:val="00AC5D1F"/>
    <w:rsid w:val="00AC676D"/>
    <w:rsid w:val="00AD1B6B"/>
    <w:rsid w:val="00AD5D01"/>
    <w:rsid w:val="00AE1E1E"/>
    <w:rsid w:val="00B028E8"/>
    <w:rsid w:val="00B14A48"/>
    <w:rsid w:val="00B21207"/>
    <w:rsid w:val="00B25300"/>
    <w:rsid w:val="00B25E6D"/>
    <w:rsid w:val="00B3695E"/>
    <w:rsid w:val="00B548BA"/>
    <w:rsid w:val="00B70CCC"/>
    <w:rsid w:val="00B72450"/>
    <w:rsid w:val="00B82740"/>
    <w:rsid w:val="00B87D03"/>
    <w:rsid w:val="00B94976"/>
    <w:rsid w:val="00BA5A1F"/>
    <w:rsid w:val="00BD196D"/>
    <w:rsid w:val="00BE6B2B"/>
    <w:rsid w:val="00BF1822"/>
    <w:rsid w:val="00C112ED"/>
    <w:rsid w:val="00C24F0C"/>
    <w:rsid w:val="00C37F5C"/>
    <w:rsid w:val="00CB36DC"/>
    <w:rsid w:val="00CD42AD"/>
    <w:rsid w:val="00CF6B2E"/>
    <w:rsid w:val="00D70C68"/>
    <w:rsid w:val="00D74934"/>
    <w:rsid w:val="00DB60A5"/>
    <w:rsid w:val="00DF0A9E"/>
    <w:rsid w:val="00DF0E49"/>
    <w:rsid w:val="00DF2038"/>
    <w:rsid w:val="00DF67C6"/>
    <w:rsid w:val="00E46472"/>
    <w:rsid w:val="00E52775"/>
    <w:rsid w:val="00E5280D"/>
    <w:rsid w:val="00E548C4"/>
    <w:rsid w:val="00E67DA8"/>
    <w:rsid w:val="00E971E7"/>
    <w:rsid w:val="00E97BD4"/>
    <w:rsid w:val="00EA0B34"/>
    <w:rsid w:val="00EA1735"/>
    <w:rsid w:val="00EA49A8"/>
    <w:rsid w:val="00EB06AA"/>
    <w:rsid w:val="00EB5A36"/>
    <w:rsid w:val="00ED0758"/>
    <w:rsid w:val="00ED2642"/>
    <w:rsid w:val="00EE5D3D"/>
    <w:rsid w:val="00EF18CC"/>
    <w:rsid w:val="00F10301"/>
    <w:rsid w:val="00F10811"/>
    <w:rsid w:val="00F21A26"/>
    <w:rsid w:val="00F3109A"/>
    <w:rsid w:val="00F55AC6"/>
    <w:rsid w:val="00FB1707"/>
    <w:rsid w:val="00FC4E4E"/>
    <w:rsid w:val="00FD6627"/>
    <w:rsid w:val="00FE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11085A8C"/>
  <w15:docId w15:val="{86E94B68-143D-412C-8C75-9E854E43A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4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686D"/>
    <w:pPr>
      <w:keepNext/>
      <w:keepLines/>
      <w:spacing w:before="200" w:after="0"/>
      <w:outlineLvl w:val="1"/>
    </w:pPr>
    <w:rPr>
      <w:rFonts w:eastAsiaTheme="majorEastAsia" w:cstheme="minorHAns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4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934"/>
  </w:style>
  <w:style w:type="paragraph" w:styleId="Pieddepage">
    <w:name w:val="footer"/>
    <w:basedOn w:val="Normal"/>
    <w:link w:val="Pieddepag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934"/>
  </w:style>
  <w:style w:type="paragraph" w:styleId="Textedebulles">
    <w:name w:val="Balloon Text"/>
    <w:basedOn w:val="Normal"/>
    <w:link w:val="TextedebullesCar"/>
    <w:uiPriority w:val="99"/>
    <w:semiHidden/>
    <w:unhideWhenUsed/>
    <w:rsid w:val="00D7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493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54686D"/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F1822"/>
    <w:pPr>
      <w:ind w:left="720"/>
      <w:contextualSpacing/>
    </w:pPr>
  </w:style>
  <w:style w:type="paragraph" w:styleId="Corpsdetexte">
    <w:name w:val="Body Text"/>
    <w:basedOn w:val="Normal"/>
    <w:link w:val="CorpsdetexteCar"/>
    <w:unhideWhenUsed/>
    <w:rsid w:val="00E46472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46472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810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TRATO-TLV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Olivier CABY</cp:lastModifiedBy>
  <cp:revision>3</cp:revision>
  <cp:lastPrinted>2019-12-18T15:31:00Z</cp:lastPrinted>
  <dcterms:created xsi:type="dcterms:W3CDTF">2023-08-08T15:01:00Z</dcterms:created>
  <dcterms:modified xsi:type="dcterms:W3CDTF">2023-08-10T09:25:00Z</dcterms:modified>
</cp:coreProperties>
</file>