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969" w:rsidRPr="00021969" w:rsidRDefault="00021969" w:rsidP="00021969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9072"/>
        </w:tabs>
        <w:ind w:firstLine="284"/>
        <w:jc w:val="center"/>
        <w:rPr>
          <w:rFonts w:cstheme="minorHAnsi"/>
        </w:rPr>
      </w:pPr>
      <w:r w:rsidRPr="00021969">
        <w:rPr>
          <w:rFonts w:cstheme="minorHAnsi"/>
        </w:rPr>
        <w:t>CAHIER DE PRESC</w:t>
      </w:r>
      <w:r w:rsidR="00BA7C2B">
        <w:rPr>
          <w:rFonts w:cstheme="minorHAnsi"/>
        </w:rPr>
        <w:t>R</w:t>
      </w:r>
      <w:r w:rsidRPr="00021969">
        <w:rPr>
          <w:rFonts w:cstheme="minorHAnsi"/>
        </w:rPr>
        <w:t>IPTION</w:t>
      </w:r>
    </w:p>
    <w:p w:rsidR="00021969" w:rsidRPr="00021969" w:rsidRDefault="00F54850" w:rsidP="00021969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9072"/>
        </w:tabs>
        <w:ind w:firstLine="284"/>
        <w:jc w:val="center"/>
        <w:rPr>
          <w:rFonts w:cstheme="minorHAnsi"/>
        </w:rPr>
      </w:pPr>
      <w:r>
        <w:rPr>
          <w:rFonts w:cstheme="minorHAnsi"/>
        </w:rPr>
        <w:t>LUMINAIRE PLAFONNIER ENCASTREE ETANCHE</w:t>
      </w:r>
    </w:p>
    <w:p w:rsidR="0054686D" w:rsidRPr="006656FE" w:rsidRDefault="004D247C" w:rsidP="00021969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9072"/>
        </w:tabs>
        <w:ind w:firstLine="284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ILUS</w:t>
      </w:r>
    </w:p>
    <w:p w:rsidR="00D74934" w:rsidRPr="00021969" w:rsidRDefault="00D74934" w:rsidP="00021969">
      <w:pPr>
        <w:spacing w:after="0" w:line="240" w:lineRule="auto"/>
        <w:ind w:firstLine="284"/>
        <w:rPr>
          <w:rFonts w:cstheme="minorHAnsi"/>
        </w:rPr>
      </w:pPr>
    </w:p>
    <w:p w:rsidR="00D74934" w:rsidRPr="00021969" w:rsidRDefault="00B44CBA" w:rsidP="00021969">
      <w:pPr>
        <w:pStyle w:val="Titre2"/>
        <w:ind w:firstLine="284"/>
        <w:rPr>
          <w:sz w:val="28"/>
          <w:szCs w:val="28"/>
        </w:rPr>
      </w:pPr>
      <w:r>
        <w:rPr>
          <w:sz w:val="28"/>
          <w:szCs w:val="28"/>
        </w:rPr>
        <w:t>Principe</w:t>
      </w:r>
    </w:p>
    <w:p w:rsidR="00021969" w:rsidRDefault="00021969" w:rsidP="00021969">
      <w:pPr>
        <w:pStyle w:val="Corpsdetexte"/>
        <w:tabs>
          <w:tab w:val="clear" w:pos="567"/>
        </w:tabs>
        <w:ind w:firstLine="284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23574B" w:rsidRPr="0023574B" w:rsidRDefault="0023574B" w:rsidP="0023574B">
      <w:pPr>
        <w:spacing w:after="0" w:line="240" w:lineRule="auto"/>
        <w:jc w:val="both"/>
        <w:rPr>
          <w:rFonts w:eastAsia="Times New Roman" w:cstheme="minorHAnsi"/>
          <w:lang w:eastAsia="fr-FR"/>
        </w:rPr>
      </w:pPr>
      <w:r w:rsidRPr="0023574B">
        <w:rPr>
          <w:rFonts w:eastAsia="Times New Roman" w:cstheme="minorHAnsi"/>
          <w:lang w:eastAsia="fr-FR"/>
        </w:rPr>
        <w:t>Toutes les pièces seront équipées d’un luminaire plafonnier encastré de type ILUS LED de la société TLV ou d’un produit équivalent</w:t>
      </w:r>
      <w:r>
        <w:rPr>
          <w:rFonts w:eastAsia="Times New Roman" w:cstheme="minorHAnsi"/>
          <w:lang w:eastAsia="fr-FR"/>
        </w:rPr>
        <w:t> :</w:t>
      </w:r>
    </w:p>
    <w:p w:rsidR="0023574B" w:rsidRPr="0023574B" w:rsidRDefault="0023574B" w:rsidP="0023574B">
      <w:pPr>
        <w:pStyle w:val="Paragraphedeliste"/>
        <w:spacing w:after="0" w:line="240" w:lineRule="auto"/>
        <w:ind w:left="1068"/>
        <w:jc w:val="both"/>
        <w:rPr>
          <w:rFonts w:eastAsia="Times New Roman" w:cstheme="minorHAnsi"/>
          <w:lang w:eastAsia="fr-FR"/>
        </w:rPr>
      </w:pPr>
    </w:p>
    <w:p w:rsidR="0023574B" w:rsidRPr="0023574B" w:rsidRDefault="0023574B" w:rsidP="0023574B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rFonts w:eastAsia="Times New Roman" w:cstheme="minorHAnsi"/>
          <w:lang w:eastAsia="fr-FR"/>
        </w:rPr>
      </w:pPr>
      <w:proofErr w:type="gramStart"/>
      <w:r w:rsidRPr="0023574B">
        <w:rPr>
          <w:rFonts w:eastAsia="Times New Roman" w:cstheme="minorHAnsi"/>
          <w:lang w:eastAsia="fr-FR"/>
        </w:rPr>
        <w:t>assurant</w:t>
      </w:r>
      <w:proofErr w:type="gramEnd"/>
      <w:r w:rsidRPr="0023574B">
        <w:rPr>
          <w:rFonts w:eastAsia="Times New Roman" w:cstheme="minorHAnsi"/>
          <w:lang w:eastAsia="fr-FR"/>
        </w:rPr>
        <w:t xml:space="preserve"> l’éclairage d’ambiance, suivant les recommandations AFE sur l’éclairage des établissements de santé,</w:t>
      </w:r>
    </w:p>
    <w:p w:rsidR="0023574B" w:rsidRPr="0023574B" w:rsidRDefault="0023574B" w:rsidP="0023574B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rFonts w:eastAsia="Times New Roman" w:cstheme="minorHAnsi"/>
          <w:lang w:eastAsia="fr-FR"/>
        </w:rPr>
      </w:pPr>
      <w:proofErr w:type="gramStart"/>
      <w:r w:rsidRPr="0023574B">
        <w:rPr>
          <w:rFonts w:eastAsia="Times New Roman" w:cstheme="minorHAnsi"/>
          <w:lang w:eastAsia="fr-FR"/>
        </w:rPr>
        <w:t>équipé</w:t>
      </w:r>
      <w:proofErr w:type="gramEnd"/>
      <w:r w:rsidRPr="0023574B">
        <w:rPr>
          <w:rFonts w:eastAsia="Times New Roman" w:cstheme="minorHAnsi"/>
          <w:lang w:eastAsia="fr-FR"/>
        </w:rPr>
        <w:t xml:space="preserve"> de modules LED à haute efficacité,</w:t>
      </w:r>
    </w:p>
    <w:p w:rsidR="0023574B" w:rsidRPr="0023574B" w:rsidRDefault="0023574B" w:rsidP="0023574B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rFonts w:eastAsia="Times New Roman" w:cstheme="minorHAnsi"/>
          <w:lang w:eastAsia="fr-FR"/>
        </w:rPr>
      </w:pPr>
      <w:r w:rsidRPr="0023574B">
        <w:rPr>
          <w:rFonts w:eastAsia="Times New Roman" w:cstheme="minorHAnsi"/>
          <w:lang w:eastAsia="fr-FR"/>
        </w:rPr>
        <w:t xml:space="preserve">ayant une durée vie de </w:t>
      </w:r>
      <w:r w:rsidR="00A25C55">
        <w:rPr>
          <w:rFonts w:eastAsia="Times New Roman" w:cstheme="minorHAnsi"/>
          <w:lang w:eastAsia="fr-FR"/>
        </w:rPr>
        <w:t>6</w:t>
      </w:r>
      <w:r w:rsidRPr="0023574B">
        <w:rPr>
          <w:rFonts w:eastAsia="Times New Roman" w:cstheme="minorHAnsi"/>
          <w:lang w:eastAsia="fr-FR"/>
        </w:rPr>
        <w:t>0</w:t>
      </w:r>
      <w:r w:rsidR="00A25C55">
        <w:rPr>
          <w:rFonts w:eastAsia="Times New Roman" w:cstheme="minorHAnsi"/>
          <w:lang w:eastAsia="fr-FR"/>
        </w:rPr>
        <w:t xml:space="preserve"> </w:t>
      </w:r>
      <w:bookmarkStart w:id="0" w:name="_GoBack"/>
      <w:bookmarkEnd w:id="0"/>
      <w:r w:rsidRPr="0023574B">
        <w:rPr>
          <w:rFonts w:eastAsia="Times New Roman" w:cstheme="minorHAnsi"/>
          <w:lang w:eastAsia="fr-FR"/>
        </w:rPr>
        <w:t>000 heures,</w:t>
      </w:r>
    </w:p>
    <w:p w:rsidR="0023574B" w:rsidRPr="0023574B" w:rsidRDefault="0023574B" w:rsidP="0023574B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rFonts w:eastAsia="Times New Roman" w:cstheme="minorHAnsi"/>
          <w:lang w:eastAsia="fr-FR"/>
        </w:rPr>
      </w:pPr>
      <w:proofErr w:type="gramStart"/>
      <w:r w:rsidRPr="0023574B">
        <w:rPr>
          <w:rFonts w:eastAsia="Times New Roman" w:cstheme="minorHAnsi"/>
          <w:lang w:eastAsia="fr-FR"/>
        </w:rPr>
        <w:t>disposant</w:t>
      </w:r>
      <w:proofErr w:type="gramEnd"/>
      <w:r w:rsidRPr="0023574B">
        <w:rPr>
          <w:rFonts w:eastAsia="Times New Roman" w:cstheme="minorHAnsi"/>
          <w:lang w:eastAsia="fr-FR"/>
        </w:rPr>
        <w:t xml:space="preserve"> d’un indice de protection IP65 sous faux-plafond à ossature visible,</w:t>
      </w:r>
    </w:p>
    <w:p w:rsidR="00FB2C49" w:rsidRDefault="0023574B" w:rsidP="0023574B">
      <w:pPr>
        <w:pStyle w:val="Paragraphedeliste"/>
        <w:numPr>
          <w:ilvl w:val="0"/>
          <w:numId w:val="22"/>
        </w:numPr>
        <w:spacing w:after="0" w:line="240" w:lineRule="auto"/>
        <w:jc w:val="both"/>
        <w:rPr>
          <w:rFonts w:cstheme="minorHAnsi"/>
        </w:rPr>
      </w:pPr>
      <w:proofErr w:type="gramStart"/>
      <w:r w:rsidRPr="0023574B">
        <w:rPr>
          <w:rFonts w:eastAsia="Times New Roman" w:cstheme="minorHAnsi"/>
          <w:lang w:eastAsia="fr-FR"/>
        </w:rPr>
        <w:t>disposant</w:t>
      </w:r>
      <w:proofErr w:type="gramEnd"/>
      <w:r w:rsidRPr="0023574B">
        <w:rPr>
          <w:rFonts w:eastAsia="Times New Roman" w:cstheme="minorHAnsi"/>
          <w:lang w:eastAsia="fr-FR"/>
        </w:rPr>
        <w:t xml:space="preserve"> d’un indice de protection IP6X dans un faux-plafond à ossature cachée.</w:t>
      </w:r>
      <w:r w:rsidR="00FB2C49">
        <w:rPr>
          <w:rFonts w:cstheme="minorHAnsi"/>
        </w:rPr>
        <w:t>.</w:t>
      </w:r>
    </w:p>
    <w:p w:rsidR="00C21D83" w:rsidRPr="0023574B" w:rsidRDefault="0023574B" w:rsidP="0023574B">
      <w:pPr>
        <w:pStyle w:val="NormalWeb"/>
        <w:ind w:firstLine="284"/>
      </w:pPr>
      <w:r>
        <w:rPr>
          <w:i/>
          <w:iCs/>
          <w:sz w:val="18"/>
          <w:szCs w:val="18"/>
        </w:rPr>
        <w:t>(</w:t>
      </w:r>
      <w:proofErr w:type="gramStart"/>
      <w:r>
        <w:rPr>
          <w:i/>
          <w:iCs/>
          <w:sz w:val="18"/>
          <w:szCs w:val="18"/>
        </w:rPr>
        <w:t>Visuel  donné</w:t>
      </w:r>
      <w:proofErr w:type="gramEnd"/>
      <w:r>
        <w:rPr>
          <w:i/>
          <w:iCs/>
          <w:sz w:val="18"/>
          <w:szCs w:val="18"/>
        </w:rPr>
        <w:t xml:space="preserve"> à titre informatif, pour bien apprécier le descriptif)</w:t>
      </w:r>
    </w:p>
    <w:p w:rsidR="00C21D83" w:rsidRDefault="00A06128" w:rsidP="00C21D83">
      <w:pPr>
        <w:pStyle w:val="Paragraphedeliste"/>
        <w:spacing w:line="240" w:lineRule="auto"/>
        <w:ind w:left="0" w:firstLine="284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651363" cy="1905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092" cy="190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924175" cy="1766643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55" cy="177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934" w:rsidRPr="00021969" w:rsidRDefault="00D74934" w:rsidP="003844BE">
      <w:pPr>
        <w:pStyle w:val="Titre2"/>
        <w:ind w:firstLine="284"/>
        <w:rPr>
          <w:sz w:val="28"/>
          <w:szCs w:val="28"/>
        </w:rPr>
      </w:pPr>
      <w:r w:rsidRPr="00021969">
        <w:rPr>
          <w:sz w:val="28"/>
          <w:szCs w:val="28"/>
        </w:rPr>
        <w:t>Référentiel technique</w:t>
      </w:r>
    </w:p>
    <w:p w:rsidR="0023574B" w:rsidRDefault="0023574B" w:rsidP="00D73126">
      <w:pPr>
        <w:pStyle w:val="NormalWeb"/>
        <w:ind w:left="284"/>
        <w:jc w:val="both"/>
      </w:pPr>
      <w:r>
        <w:rPr>
          <w:rFonts w:ascii="Calibri" w:hAnsi="Calibri" w:cs="Calibri"/>
          <w:sz w:val="22"/>
          <w:szCs w:val="22"/>
        </w:rPr>
        <w:t>Le luminaire sera composé d'un corps en acier (classement au feu M0), recouvert d’une peinture RAL 9016 avec diffusant en PMMA (</w:t>
      </w:r>
      <w:proofErr w:type="spellStart"/>
      <w:r>
        <w:rPr>
          <w:rFonts w:ascii="Calibri" w:hAnsi="Calibri" w:cs="Calibri"/>
          <w:sz w:val="22"/>
          <w:szCs w:val="22"/>
        </w:rPr>
        <w:t>polyméthacrylate</w:t>
      </w:r>
      <w:proofErr w:type="spellEnd"/>
      <w:r>
        <w:rPr>
          <w:rFonts w:ascii="Calibri" w:hAnsi="Calibri" w:cs="Calibri"/>
          <w:sz w:val="22"/>
          <w:szCs w:val="22"/>
        </w:rPr>
        <w:t xml:space="preserve"> de méthyle) extrêmement résistant aux UV (sans risque de jaunissement).</w:t>
      </w:r>
    </w:p>
    <w:p w:rsidR="0023574B" w:rsidRDefault="0023574B" w:rsidP="0023574B">
      <w:pPr>
        <w:pStyle w:val="NormalWeb"/>
        <w:ind w:left="1004"/>
        <w:jc w:val="both"/>
      </w:pPr>
      <w:r>
        <w:rPr>
          <w:rFonts w:ascii="Symbol" w:hAnsi="Symbol"/>
          <w:sz w:val="22"/>
          <w:szCs w:val="22"/>
        </w:rPr>
        <w:t></w:t>
      </w:r>
      <w:r>
        <w:rPr>
          <w:sz w:val="14"/>
          <w:szCs w:val="14"/>
        </w:rPr>
        <w:t xml:space="preserve"> </w:t>
      </w:r>
      <w:r>
        <w:rPr>
          <w:rFonts w:ascii="Calibri" w:hAnsi="Calibri" w:cs="Calibri"/>
          <w:sz w:val="22"/>
          <w:szCs w:val="22"/>
        </w:rPr>
        <w:t>pour plafond à ossature cachée : il sera fourni avec un cadre support luminaire équipé de ressorts permettant un pincement efficace sur plafond d’épaisseur de 13 à 26 mm, de deux joints périphériques assurant un indice de protection IP65 entre le diffusant du luminaire, le cadre et le faux-plafond.</w:t>
      </w:r>
    </w:p>
    <w:p w:rsidR="0023574B" w:rsidRDefault="0023574B" w:rsidP="0023574B">
      <w:pPr>
        <w:pStyle w:val="NormalWeb"/>
        <w:ind w:left="1004"/>
        <w:jc w:val="both"/>
      </w:pPr>
      <w:r>
        <w:rPr>
          <w:rFonts w:ascii="Symbol" w:hAnsi="Symbol"/>
          <w:sz w:val="22"/>
          <w:szCs w:val="22"/>
        </w:rPr>
        <w:t></w:t>
      </w:r>
      <w:r>
        <w:rPr>
          <w:sz w:val="14"/>
          <w:szCs w:val="14"/>
        </w:rPr>
        <w:t xml:space="preserve"> </w:t>
      </w:r>
      <w:r>
        <w:rPr>
          <w:rFonts w:ascii="Calibri" w:hAnsi="Calibri" w:cs="Calibri"/>
          <w:sz w:val="22"/>
          <w:szCs w:val="22"/>
        </w:rPr>
        <w:t>pour plafond à ossature visible : il se placera en lieu et place d’une dalle de faux-plafond de 600 x 600 mm et assurera un indice de protection IP6X.</w:t>
      </w:r>
    </w:p>
    <w:p w:rsidR="0023574B" w:rsidRDefault="0023574B" w:rsidP="0023574B">
      <w:pPr>
        <w:pStyle w:val="NormalWeb"/>
        <w:ind w:firstLine="284"/>
        <w:jc w:val="both"/>
      </w:pPr>
      <w:r>
        <w:rPr>
          <w:rFonts w:ascii="Calibri" w:hAnsi="Calibri" w:cs="Calibri"/>
          <w:sz w:val="22"/>
          <w:szCs w:val="22"/>
        </w:rPr>
        <w:t>Le nettoyage et la désinfection seront facilités grâce à :</w:t>
      </w:r>
    </w:p>
    <w:p w:rsidR="0023574B" w:rsidRDefault="0023574B" w:rsidP="0023574B">
      <w:pPr>
        <w:pStyle w:val="NormalWeb"/>
        <w:ind w:left="1004"/>
        <w:jc w:val="both"/>
      </w:pPr>
      <w:r>
        <w:rPr>
          <w:rFonts w:ascii="Symbol" w:hAnsi="Symbol"/>
          <w:sz w:val="22"/>
          <w:szCs w:val="22"/>
        </w:rPr>
        <w:t></w:t>
      </w:r>
      <w:r>
        <w:rPr>
          <w:sz w:val="14"/>
          <w:szCs w:val="14"/>
        </w:rPr>
        <w:t xml:space="preserve"> </w:t>
      </w:r>
      <w:r>
        <w:rPr>
          <w:rFonts w:ascii="Calibri" w:hAnsi="Calibri" w:cs="Calibri"/>
          <w:sz w:val="22"/>
          <w:szCs w:val="22"/>
        </w:rPr>
        <w:t>Une sous face plane,</w:t>
      </w:r>
    </w:p>
    <w:p w:rsidR="0023574B" w:rsidRDefault="0023574B" w:rsidP="0023574B">
      <w:pPr>
        <w:pStyle w:val="NormalWeb"/>
        <w:ind w:left="1004"/>
        <w:jc w:val="both"/>
      </w:pPr>
      <w:r>
        <w:rPr>
          <w:rFonts w:ascii="Symbol" w:hAnsi="Symbol"/>
          <w:sz w:val="22"/>
          <w:szCs w:val="22"/>
        </w:rPr>
        <w:t></w:t>
      </w:r>
      <w:r>
        <w:rPr>
          <w:sz w:val="14"/>
          <w:szCs w:val="14"/>
        </w:rPr>
        <w:t xml:space="preserve"> </w:t>
      </w:r>
      <w:r>
        <w:rPr>
          <w:rFonts w:ascii="Calibri" w:hAnsi="Calibri" w:cs="Calibri"/>
          <w:sz w:val="22"/>
          <w:szCs w:val="22"/>
        </w:rPr>
        <w:t>L’intégration complète du dispositif d'éclairage dans le corps du luminaire.</w:t>
      </w:r>
    </w:p>
    <w:p w:rsidR="00021969" w:rsidRPr="00021969" w:rsidRDefault="00FB2C49" w:rsidP="00021969">
      <w:pPr>
        <w:pStyle w:val="Paragraphedeliste"/>
        <w:spacing w:after="0" w:line="240" w:lineRule="auto"/>
        <w:ind w:left="0"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>
        <w:rPr>
          <w:rFonts w:cstheme="minorHAnsi"/>
          <w:b/>
          <w:color w:val="4F81BD" w:themeColor="accent1"/>
          <w:sz w:val="28"/>
          <w:szCs w:val="28"/>
        </w:rPr>
        <w:lastRenderedPageBreak/>
        <w:t>Installation</w:t>
      </w:r>
    </w:p>
    <w:p w:rsidR="0023574B" w:rsidRDefault="0023574B" w:rsidP="0023574B">
      <w:pPr>
        <w:pStyle w:val="NormalWeb"/>
        <w:ind w:firstLine="284"/>
        <w:jc w:val="both"/>
      </w:pPr>
      <w:r>
        <w:rPr>
          <w:rFonts w:ascii="Calibri" w:hAnsi="Calibri" w:cs="Calibri"/>
          <w:sz w:val="22"/>
          <w:szCs w:val="22"/>
        </w:rPr>
        <w:t>Elle sera facilitée grâce à :</w:t>
      </w:r>
    </w:p>
    <w:p w:rsidR="0023574B" w:rsidRDefault="0023574B" w:rsidP="0023574B">
      <w:pPr>
        <w:pStyle w:val="NormalWeb"/>
        <w:spacing w:beforeAutospacing="0" w:after="0" w:afterAutospacing="0"/>
        <w:ind w:left="1004"/>
        <w:jc w:val="both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Un cadre de fixation facile à poser,</w:t>
      </w:r>
    </w:p>
    <w:p w:rsidR="00666035" w:rsidRDefault="0023574B" w:rsidP="0023574B">
      <w:pPr>
        <w:pStyle w:val="NormalWeb"/>
        <w:spacing w:beforeAutospacing="0" w:after="0" w:afterAutospacing="0"/>
        <w:ind w:left="100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Un cordon d’alimentation avec fiche GST 3 ou 5 plots.</w:t>
      </w:r>
    </w:p>
    <w:p w:rsidR="00F75377" w:rsidRPr="00021969" w:rsidRDefault="00F75377" w:rsidP="00F75377">
      <w:pPr>
        <w:pStyle w:val="Paragraphedeliste"/>
        <w:spacing w:after="0" w:line="240" w:lineRule="auto"/>
        <w:ind w:left="0" w:firstLine="284"/>
        <w:jc w:val="both"/>
        <w:rPr>
          <w:rFonts w:cstheme="minorHAnsi"/>
          <w:b/>
          <w:color w:val="4F81BD" w:themeColor="accent1"/>
          <w:sz w:val="28"/>
          <w:szCs w:val="28"/>
        </w:rPr>
      </w:pPr>
      <w:r>
        <w:rPr>
          <w:rFonts w:cstheme="minorHAnsi"/>
          <w:b/>
          <w:color w:val="4F81BD" w:themeColor="accent1"/>
          <w:sz w:val="28"/>
          <w:szCs w:val="28"/>
        </w:rPr>
        <w:t>Eclairage</w:t>
      </w:r>
    </w:p>
    <w:p w:rsidR="0023574B" w:rsidRDefault="005A6335" w:rsidP="0023574B">
      <w:pPr>
        <w:spacing w:before="100" w:beforeAutospacing="1"/>
        <w:ind w:left="284"/>
      </w:pPr>
      <w:r>
        <w:t xml:space="preserve">Le luminaire sera équipé </w:t>
      </w:r>
      <w:r w:rsidR="0023574B">
        <w:t>de modules LED ayant 3 Ellipses de macadam, température de</w:t>
      </w:r>
      <w:r>
        <w:t xml:space="preserve"> couleur de 4000 K,</w:t>
      </w:r>
      <w:r w:rsidR="0023574B">
        <w:t xml:space="preserve"> un IRC </w:t>
      </w:r>
      <w:r>
        <w:rPr>
          <w:rFonts w:cstheme="minorHAnsi"/>
        </w:rPr>
        <w:t>≥</w:t>
      </w:r>
      <w:r>
        <w:t xml:space="preserve"> </w:t>
      </w:r>
      <w:r w:rsidR="00980B0A">
        <w:t>90</w:t>
      </w:r>
      <w:r>
        <w:t xml:space="preserve"> et un UGR&lt;19 (4H 8H 7 5 2)</w:t>
      </w:r>
    </w:p>
    <w:p w:rsidR="0023574B" w:rsidRDefault="0023574B" w:rsidP="0023574B">
      <w:pPr>
        <w:spacing w:before="100" w:beforeAutospacing="1"/>
        <w:ind w:firstLine="284"/>
        <w:jc w:val="both"/>
      </w:pPr>
      <w:r>
        <w:t>Les modules LED permettront :</w:t>
      </w:r>
    </w:p>
    <w:p w:rsidR="0023574B" w:rsidRDefault="0023574B" w:rsidP="00D73126">
      <w:pPr>
        <w:pStyle w:val="NormalWeb"/>
        <w:spacing w:beforeAutospacing="0" w:after="0" w:afterAutospacing="0"/>
        <w:ind w:left="644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une production de lumière exempte de rayons ultra-violets et infrarouges sans rayonnement thermique vers le patient à éclairer,</w:t>
      </w:r>
    </w:p>
    <w:p w:rsidR="0023574B" w:rsidRDefault="0023574B" w:rsidP="00D73126">
      <w:pPr>
        <w:pStyle w:val="NormalWeb"/>
        <w:spacing w:beforeAutospacing="0" w:after="0" w:afterAutospacing="0"/>
        <w:ind w:left="644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une meilleure orientation du flux lumineux,</w:t>
      </w:r>
    </w:p>
    <w:p w:rsidR="0023574B" w:rsidRDefault="0023574B" w:rsidP="00D73126">
      <w:pPr>
        <w:pStyle w:val="NormalWeb"/>
        <w:spacing w:beforeAutospacing="0" w:after="0" w:afterAutospacing="0"/>
        <w:ind w:left="644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un excellent maintien du flux dans le temps,</w:t>
      </w:r>
    </w:p>
    <w:p w:rsidR="0023574B" w:rsidRDefault="0023574B" w:rsidP="00D73126">
      <w:pPr>
        <w:pStyle w:val="NormalWeb"/>
        <w:spacing w:beforeAutospacing="0" w:after="0" w:afterAutospacing="0"/>
        <w:ind w:left="644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 xml:space="preserve">une durée de vie pouvant atteindre </w:t>
      </w:r>
      <w:r w:rsidR="00980B0A">
        <w:t>6</w:t>
      </w:r>
      <w:r>
        <w:t>0</w:t>
      </w:r>
      <w:r w:rsidR="00624443">
        <w:t> </w:t>
      </w:r>
      <w:r>
        <w:t>000</w:t>
      </w:r>
      <w:r w:rsidR="00624443">
        <w:t xml:space="preserve"> (L80B10)</w:t>
      </w:r>
      <w:r>
        <w:t xml:space="preserve"> heures, réduisant ainsi les coûts de maintenance,</w:t>
      </w:r>
    </w:p>
    <w:p w:rsidR="0023574B" w:rsidRDefault="0023574B" w:rsidP="00D73126">
      <w:pPr>
        <w:pStyle w:val="NormalWeb"/>
        <w:spacing w:beforeAutospacing="0" w:after="0" w:afterAutospacing="0"/>
        <w:ind w:left="644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un rapport lm/W supérieur à un éclairage utilisant des sources à tubes fluorescents.</w:t>
      </w:r>
    </w:p>
    <w:p w:rsidR="0023574B" w:rsidRDefault="0023574B" w:rsidP="0023574B">
      <w:pPr>
        <w:spacing w:before="100" w:beforeAutospacing="1"/>
        <w:ind w:left="284"/>
      </w:pPr>
      <w:r>
        <w:t>L’éblouissement de l’éclairage sera limité, les sources n’étant pas visibles directement par le personnel médical ou les visiteurs, afin de respecter les préconisations d'éblouissement de l’éclairage des lieux de travail.</w:t>
      </w:r>
    </w:p>
    <w:p w:rsidR="0023574B" w:rsidRDefault="0023574B" w:rsidP="0023574B">
      <w:pPr>
        <w:spacing w:before="100" w:beforeAutospacing="1"/>
        <w:ind w:firstLine="284"/>
        <w:jc w:val="both"/>
      </w:pPr>
      <w:r>
        <w:t>Le luminaire pourra être équipé en option :</w:t>
      </w:r>
    </w:p>
    <w:p w:rsidR="0023574B" w:rsidRDefault="0023574B" w:rsidP="0023574B">
      <w:pPr>
        <w:pStyle w:val="NormalWeb"/>
        <w:spacing w:beforeAutospacing="0" w:after="0" w:afterAutospacing="0"/>
        <w:ind w:left="1004"/>
        <w:jc w:val="both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de convertisseurs électroniques à gradation DALI,</w:t>
      </w:r>
    </w:p>
    <w:p w:rsidR="0023574B" w:rsidRDefault="0023574B" w:rsidP="0023574B">
      <w:pPr>
        <w:pStyle w:val="NormalWeb"/>
        <w:spacing w:beforeAutospacing="0" w:after="0" w:afterAutospacing="0"/>
        <w:ind w:left="1004"/>
        <w:jc w:val="both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de modules LED pour Eclairage dynamique.</w:t>
      </w:r>
    </w:p>
    <w:p w:rsidR="0023574B" w:rsidRDefault="0023574B" w:rsidP="00AC2C82">
      <w:pPr>
        <w:spacing w:before="100" w:beforeAutospacing="1"/>
        <w:ind w:left="284"/>
        <w:jc w:val="both"/>
      </w:pPr>
      <w:r>
        <w:t>En tenant compte d’un coefficient de maintenance de 0.83, les éclairages devront permettre de maintenir un niveau d’éclairement moyen en salle de réveil ou de soins d’au moins 500 lux à 0.85 m du sol.</w:t>
      </w:r>
    </w:p>
    <w:p w:rsidR="0023574B" w:rsidRDefault="0023574B" w:rsidP="0023574B">
      <w:pPr>
        <w:pStyle w:val="NormalWeb"/>
        <w:ind w:firstLine="284"/>
        <w:jc w:val="both"/>
      </w:pPr>
      <w:r>
        <w:rPr>
          <w:rFonts w:ascii="Calibri" w:hAnsi="Calibri" w:cs="Calibri"/>
          <w:sz w:val="22"/>
          <w:szCs w:val="22"/>
        </w:rPr>
        <w:t>Le Luminaire sera disponible en modules de :</w:t>
      </w:r>
    </w:p>
    <w:p w:rsidR="0023574B" w:rsidRDefault="0023574B" w:rsidP="0023574B">
      <w:pPr>
        <w:pStyle w:val="NormalWeb"/>
        <w:ind w:left="1004"/>
        <w:jc w:val="both"/>
      </w:pPr>
      <w:r>
        <w:rPr>
          <w:rFonts w:ascii="Symbol" w:hAnsi="Symbol"/>
          <w:sz w:val="22"/>
          <w:szCs w:val="22"/>
        </w:rPr>
        <w:t></w:t>
      </w:r>
      <w:r>
        <w:rPr>
          <w:rFonts w:ascii="Symbol" w:hAnsi="Symbol"/>
          <w:sz w:val="22"/>
          <w:szCs w:val="22"/>
        </w:rPr>
        <w:t></w:t>
      </w:r>
      <w:r>
        <w:rPr>
          <w:rFonts w:ascii="Calibri" w:hAnsi="Calibri" w:cs="Calibri"/>
          <w:sz w:val="22"/>
          <w:szCs w:val="22"/>
        </w:rPr>
        <w:t>1220 x 275 mm et 627 x 627 mm avec cadre,</w:t>
      </w:r>
    </w:p>
    <w:p w:rsidR="0023574B" w:rsidRDefault="0023574B" w:rsidP="0023574B">
      <w:pPr>
        <w:pStyle w:val="NormalWeb"/>
        <w:ind w:left="1004"/>
        <w:jc w:val="both"/>
      </w:pPr>
      <w:r>
        <w:rPr>
          <w:rFonts w:ascii="Symbol" w:hAnsi="Symbol"/>
          <w:sz w:val="22"/>
          <w:szCs w:val="22"/>
        </w:rPr>
        <w:t></w:t>
      </w:r>
      <w:r>
        <w:rPr>
          <w:sz w:val="14"/>
          <w:szCs w:val="14"/>
        </w:rPr>
        <w:t xml:space="preserve"> </w:t>
      </w:r>
      <w:r>
        <w:rPr>
          <w:rFonts w:ascii="Calibri" w:hAnsi="Calibri" w:cs="Calibri"/>
          <w:sz w:val="22"/>
          <w:szCs w:val="22"/>
        </w:rPr>
        <w:t>597 x 597 mm sans cadre.</w:t>
      </w:r>
    </w:p>
    <w:p w:rsidR="00D74934" w:rsidRPr="00F75377" w:rsidRDefault="0023574B" w:rsidP="001E3143">
      <w:pPr>
        <w:pStyle w:val="Titre2"/>
        <w:ind w:firstLine="284"/>
        <w:rPr>
          <w:sz w:val="28"/>
          <w:szCs w:val="28"/>
        </w:rPr>
      </w:pPr>
      <w:r w:rsidRPr="00F75377">
        <w:rPr>
          <w:sz w:val="28"/>
          <w:szCs w:val="28"/>
        </w:rPr>
        <w:t>Référentiel normatif</w:t>
      </w:r>
    </w:p>
    <w:p w:rsidR="0023574B" w:rsidRDefault="0023574B" w:rsidP="0023574B">
      <w:pPr>
        <w:spacing w:before="100" w:beforeAutospacing="1"/>
        <w:ind w:firstLine="284"/>
        <w:jc w:val="both"/>
      </w:pPr>
      <w:r>
        <w:t>Le luminaire entièrement fabriqué en usine respectera les normes et recommandations en vigueur suivantes :</w:t>
      </w:r>
    </w:p>
    <w:p w:rsidR="0023574B" w:rsidRDefault="0023574B" w:rsidP="005A6335">
      <w:pPr>
        <w:pStyle w:val="NormalWeb"/>
        <w:spacing w:beforeAutospacing="0" w:after="0" w:afterAutospacing="0"/>
        <w:jc w:val="both"/>
      </w:pPr>
    </w:p>
    <w:p w:rsidR="0023574B" w:rsidRDefault="0023574B" w:rsidP="0023574B">
      <w:pPr>
        <w:pStyle w:val="NormalWeb"/>
        <w:spacing w:beforeAutospacing="0" w:after="0" w:afterAutospacing="0"/>
        <w:ind w:left="1068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Marquage CE suivant les dispositions applicables de la directive 2014/30/UE</w:t>
      </w:r>
      <w:r w:rsidR="00AC2C82">
        <w:t xml:space="preserve"> « Compatibilité</w:t>
      </w:r>
      <w:r>
        <w:t xml:space="preserve"> </w:t>
      </w:r>
      <w:r w:rsidR="00AC2C82">
        <w:t>électromagnétique »</w:t>
      </w:r>
      <w:r>
        <w:t xml:space="preserve"> et de la directive 2014/35/UE</w:t>
      </w:r>
      <w:r w:rsidR="00AC2C82">
        <w:t xml:space="preserve"> « Basse</w:t>
      </w:r>
      <w:r>
        <w:t xml:space="preserve"> </w:t>
      </w:r>
      <w:r w:rsidR="00AC2C82">
        <w:t>Tension »</w:t>
      </w:r>
      <w:r>
        <w:t>,</w:t>
      </w:r>
    </w:p>
    <w:p w:rsidR="0023574B" w:rsidRDefault="0023574B" w:rsidP="0023574B">
      <w:pPr>
        <w:pStyle w:val="NormalWeb"/>
        <w:spacing w:beforeAutospacing="0" w:after="0" w:afterAutospacing="0"/>
        <w:ind w:left="1068"/>
        <w:jc w:val="both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NF EN 60598-1 Luminaires Partie 1 - Exigences générales et essais,</w:t>
      </w:r>
    </w:p>
    <w:p w:rsidR="0023574B" w:rsidRDefault="0023574B" w:rsidP="0023574B">
      <w:pPr>
        <w:pStyle w:val="NormalWeb"/>
        <w:spacing w:beforeAutospacing="0" w:after="0" w:afterAutospacing="0"/>
        <w:ind w:left="1068"/>
        <w:jc w:val="both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NF EN 60598-2-25 Luminaires pour les unités de soins des hôpitaux et les maisons de santé,</w:t>
      </w:r>
    </w:p>
    <w:p w:rsidR="0023574B" w:rsidRDefault="0023574B" w:rsidP="0023574B">
      <w:pPr>
        <w:pStyle w:val="NormalWeb"/>
        <w:spacing w:beforeAutospacing="0" w:after="0" w:afterAutospacing="0"/>
        <w:ind w:left="1068"/>
        <w:jc w:val="both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Article EC5 du règlement de sécurité contre les risques d’incendie et de panique dans les établissements recevant du public ERP</w:t>
      </w:r>
    </w:p>
    <w:p w:rsidR="0023574B" w:rsidRDefault="0023574B" w:rsidP="0023574B">
      <w:pPr>
        <w:pStyle w:val="NormalWeb"/>
        <w:spacing w:beforeAutospacing="0" w:after="0" w:afterAutospacing="0"/>
        <w:ind w:left="1068"/>
        <w:jc w:val="both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Recommandations AFE relatives à l’éclairage des établissements de santé.</w:t>
      </w:r>
    </w:p>
    <w:p w:rsidR="0023574B" w:rsidRDefault="0023574B" w:rsidP="0023574B">
      <w:pPr>
        <w:spacing w:before="100" w:beforeAutospacing="1"/>
        <w:ind w:firstLine="284"/>
        <w:jc w:val="both"/>
      </w:pPr>
      <w:r>
        <w:t>Le fabricant s’engage à mettre à disposition :</w:t>
      </w:r>
    </w:p>
    <w:p w:rsidR="0023574B" w:rsidRDefault="0023574B" w:rsidP="0023574B">
      <w:pPr>
        <w:pStyle w:val="NormalWeb"/>
        <w:spacing w:beforeAutospacing="0" w:after="0" w:afterAutospacing="0"/>
        <w:ind w:left="1004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 xml:space="preserve">le procès-verbal de tests de sécurité électrique selon EN 60598-1 « Essai de conformité suivant l’annexe </w:t>
      </w:r>
      <w:r w:rsidR="00AC2C82">
        <w:t>Q »</w:t>
      </w:r>
      <w:r>
        <w:t>,</w:t>
      </w:r>
    </w:p>
    <w:p w:rsidR="0023574B" w:rsidRDefault="0023574B" w:rsidP="0023574B">
      <w:pPr>
        <w:pStyle w:val="NormalWeb"/>
        <w:spacing w:beforeAutospacing="0" w:after="0" w:afterAutospacing="0"/>
        <w:ind w:left="1004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la preuve du respect des exigences de compatibilités électromagnétiques,</w:t>
      </w:r>
    </w:p>
    <w:p w:rsidR="0023574B" w:rsidRDefault="0023574B" w:rsidP="0023574B">
      <w:pPr>
        <w:pStyle w:val="NormalWeb"/>
        <w:spacing w:beforeAutospacing="0" w:after="0" w:afterAutospacing="0"/>
        <w:ind w:left="1004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 </w:t>
      </w:r>
      <w:r>
        <w:t>la déclaration de conformité CE de l’appareil,</w:t>
      </w:r>
    </w:p>
    <w:p w:rsidR="0023574B" w:rsidRDefault="0023574B" w:rsidP="0023574B">
      <w:pPr>
        <w:pStyle w:val="NormalWeb"/>
        <w:spacing w:beforeAutospacing="0" w:after="0" w:afterAutospacing="0"/>
        <w:ind w:left="1004"/>
      </w:pPr>
      <w:r>
        <w:rPr>
          <w:rFonts w:ascii="Symbol" w:hAnsi="Symbol"/>
        </w:rPr>
        <w:t></w:t>
      </w:r>
      <w:r>
        <w:rPr>
          <w:rFonts w:ascii="Symbol" w:hAnsi="Symbol"/>
        </w:rPr>
        <w:t></w:t>
      </w:r>
      <w:r>
        <w:t xml:space="preserve">les études d’éclairage dans le contexte </w:t>
      </w:r>
      <w:r w:rsidR="00DF7B75">
        <w:t>d’implantation du matériel</w:t>
      </w:r>
      <w:r>
        <w:t>.</w:t>
      </w:r>
    </w:p>
    <w:p w:rsidR="0023574B" w:rsidRDefault="0023574B" w:rsidP="0023574B">
      <w:pPr>
        <w:spacing w:before="100" w:beforeAutospacing="1"/>
        <w:ind w:left="284"/>
        <w:jc w:val="both"/>
      </w:pPr>
      <w:r>
        <w:t>Le matériel sera livré avec la notice d'instructions détaillant les opérations de montage, d'installation et de maintenance.</w:t>
      </w:r>
    </w:p>
    <w:sectPr w:rsidR="0023574B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7EC5" w:rsidRDefault="008B7EC5" w:rsidP="00D74934">
      <w:pPr>
        <w:spacing w:after="0" w:line="240" w:lineRule="auto"/>
      </w:pPr>
      <w:r>
        <w:separator/>
      </w:r>
    </w:p>
  </w:endnote>
  <w:endnote w:type="continuationSeparator" w:id="0">
    <w:p w:rsidR="008B7EC5" w:rsidRDefault="008B7EC5" w:rsidP="00D74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EC5" w:rsidRPr="00021969" w:rsidRDefault="007470CF" w:rsidP="00980B0A">
    <w:pPr>
      <w:pStyle w:val="Pieddepage"/>
      <w:pBdr>
        <w:top w:val="thinThickSmallGap" w:sz="24" w:space="1" w:color="000000" w:themeColor="text1"/>
      </w:pBdr>
    </w:pPr>
    <w:r>
      <w:rPr>
        <w:rFonts w:eastAsiaTheme="majorEastAsia" w:cstheme="minorHAnsi"/>
      </w:rPr>
      <w:t>REV 0</w:t>
    </w:r>
    <w:r w:rsidR="00980B0A">
      <w:rPr>
        <w:rFonts w:eastAsiaTheme="majorEastAsia" w:cstheme="minorHAnsi"/>
      </w:rPr>
      <w:t>5</w:t>
    </w:r>
    <w:r>
      <w:rPr>
        <w:rFonts w:eastAsiaTheme="majorEastAsia" w:cstheme="minorHAnsi"/>
      </w:rPr>
      <w:t>-</w:t>
    </w:r>
    <w:r w:rsidR="00980B0A">
      <w:rPr>
        <w:rFonts w:eastAsiaTheme="majorEastAsia" w:cstheme="minorHAnsi"/>
      </w:rPr>
      <w:t>09.08.2023</w:t>
    </w:r>
    <w:r w:rsidR="008B7EC5" w:rsidRPr="00BF3847">
      <w:rPr>
        <w:rFonts w:eastAsiaTheme="majorEastAsia" w:cstheme="minorHAnsi"/>
      </w:rPr>
      <w:ptab w:relativeTo="margin" w:alignment="right" w:leader="none"/>
    </w:r>
    <w:r w:rsidR="008B7EC5" w:rsidRPr="00BF3847">
      <w:rPr>
        <w:rFonts w:eastAsiaTheme="majorEastAsia" w:cstheme="minorHAnsi"/>
      </w:rPr>
      <w:t xml:space="preserve">Page </w:t>
    </w:r>
    <w:r w:rsidR="008B7EC5" w:rsidRPr="00BF3847">
      <w:rPr>
        <w:rFonts w:eastAsiaTheme="minorEastAsia" w:cstheme="minorHAnsi"/>
      </w:rPr>
      <w:fldChar w:fldCharType="begin"/>
    </w:r>
    <w:r w:rsidR="008B7EC5" w:rsidRPr="00BF3847">
      <w:rPr>
        <w:rFonts w:cstheme="minorHAnsi"/>
      </w:rPr>
      <w:instrText>PAGE   \* MERGEFORMAT</w:instrText>
    </w:r>
    <w:r w:rsidR="008B7EC5" w:rsidRPr="00BF3847">
      <w:rPr>
        <w:rFonts w:eastAsiaTheme="minorEastAsia" w:cstheme="minorHAnsi"/>
      </w:rPr>
      <w:fldChar w:fldCharType="separate"/>
    </w:r>
    <w:r w:rsidR="00A25C55" w:rsidRPr="00A25C55">
      <w:rPr>
        <w:rFonts w:eastAsiaTheme="majorEastAsia" w:cstheme="minorHAnsi"/>
        <w:noProof/>
      </w:rPr>
      <w:t>3</w:t>
    </w:r>
    <w:r w:rsidR="008B7EC5" w:rsidRPr="00BF3847">
      <w:rPr>
        <w:rFonts w:eastAsiaTheme="majorEastAsia" w:cstheme="minorHAns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7EC5" w:rsidRDefault="008B7EC5" w:rsidP="00D74934">
      <w:pPr>
        <w:spacing w:after="0" w:line="240" w:lineRule="auto"/>
      </w:pPr>
      <w:r>
        <w:separator/>
      </w:r>
    </w:p>
  </w:footnote>
  <w:footnote w:type="continuationSeparator" w:id="0">
    <w:p w:rsidR="008B7EC5" w:rsidRDefault="008B7EC5" w:rsidP="00D749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EC5" w:rsidRDefault="00E24445">
    <w:pPr>
      <w:pStyle w:val="En-tte"/>
    </w:pPr>
    <w:r>
      <w:rPr>
        <w:noProof/>
        <w:lang w:eastAsia="fr-FR"/>
      </w:rPr>
      <w:drawing>
        <wp:inline distT="0" distB="0" distL="0" distR="0">
          <wp:extent cx="1800000" cy="308532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TLV-FOND-BL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308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60F8E"/>
    <w:multiLevelType w:val="hybridMultilevel"/>
    <w:tmpl w:val="B6D0C7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F31E6"/>
    <w:multiLevelType w:val="hybridMultilevel"/>
    <w:tmpl w:val="22020D64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CD53E2E"/>
    <w:multiLevelType w:val="hybridMultilevel"/>
    <w:tmpl w:val="3D6A6D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D07D4"/>
    <w:multiLevelType w:val="hybridMultilevel"/>
    <w:tmpl w:val="EB6E73B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DE303B"/>
    <w:multiLevelType w:val="hybridMultilevel"/>
    <w:tmpl w:val="B09E252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9531CD4"/>
    <w:multiLevelType w:val="hybridMultilevel"/>
    <w:tmpl w:val="7194B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9B0F09"/>
    <w:multiLevelType w:val="hybridMultilevel"/>
    <w:tmpl w:val="7CCE5DBC"/>
    <w:lvl w:ilvl="0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" w15:restartNumberingAfterBreak="0">
    <w:nsid w:val="3D720059"/>
    <w:multiLevelType w:val="hybridMultilevel"/>
    <w:tmpl w:val="F0BE3E54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D8F5D8F"/>
    <w:multiLevelType w:val="hybridMultilevel"/>
    <w:tmpl w:val="0BAABEB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03C1221"/>
    <w:multiLevelType w:val="hybridMultilevel"/>
    <w:tmpl w:val="526EDFC4"/>
    <w:lvl w:ilvl="0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4090243A"/>
    <w:multiLevelType w:val="hybridMultilevel"/>
    <w:tmpl w:val="C68EBD68"/>
    <w:lvl w:ilvl="0" w:tplc="0554E9BE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43B24B52"/>
    <w:multiLevelType w:val="hybridMultilevel"/>
    <w:tmpl w:val="8ED88098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9DC4071"/>
    <w:multiLevelType w:val="hybridMultilevel"/>
    <w:tmpl w:val="D1C61EE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D475431"/>
    <w:multiLevelType w:val="hybridMultilevel"/>
    <w:tmpl w:val="37226922"/>
    <w:lvl w:ilvl="0" w:tplc="0554E9BE">
      <w:numFmt w:val="bullet"/>
      <w:lvlText w:val="-"/>
      <w:lvlJc w:val="left"/>
      <w:pPr>
        <w:ind w:left="928" w:hanging="360"/>
      </w:pPr>
      <w:rPr>
        <w:rFonts w:ascii="Calibri" w:eastAsia="Times New Roman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E6654DA"/>
    <w:multiLevelType w:val="hybridMultilevel"/>
    <w:tmpl w:val="5CEE7F4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F0C4471"/>
    <w:multiLevelType w:val="hybridMultilevel"/>
    <w:tmpl w:val="CB4468E6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53565B94"/>
    <w:multiLevelType w:val="hybridMultilevel"/>
    <w:tmpl w:val="026C301A"/>
    <w:lvl w:ilvl="0" w:tplc="040C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7" w15:restartNumberingAfterBreak="0">
    <w:nsid w:val="546C771E"/>
    <w:multiLevelType w:val="hybridMultilevel"/>
    <w:tmpl w:val="0AFCA34C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7576321"/>
    <w:multiLevelType w:val="hybridMultilevel"/>
    <w:tmpl w:val="51325F24"/>
    <w:lvl w:ilvl="0" w:tplc="0554E9BE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59BC3915"/>
    <w:multiLevelType w:val="hybridMultilevel"/>
    <w:tmpl w:val="3620D064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658D0E90"/>
    <w:multiLevelType w:val="hybridMultilevel"/>
    <w:tmpl w:val="A8CC3A06"/>
    <w:lvl w:ilvl="0" w:tplc="040C0001">
      <w:start w:val="1"/>
      <w:numFmt w:val="bullet"/>
      <w:lvlText w:val=""/>
      <w:lvlJc w:val="left"/>
      <w:pPr>
        <w:ind w:left="2276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37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36" w:hanging="360"/>
      </w:pPr>
      <w:rPr>
        <w:rFonts w:ascii="Wingdings" w:hAnsi="Wingdings" w:hint="default"/>
      </w:rPr>
    </w:lvl>
  </w:abstractNum>
  <w:abstractNum w:abstractNumId="21" w15:restartNumberingAfterBreak="0">
    <w:nsid w:val="67527C81"/>
    <w:multiLevelType w:val="hybridMultilevel"/>
    <w:tmpl w:val="946EE2B0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6352F8"/>
    <w:multiLevelType w:val="hybridMultilevel"/>
    <w:tmpl w:val="8FDC83D0"/>
    <w:lvl w:ilvl="0" w:tplc="040C0001">
      <w:start w:val="1"/>
      <w:numFmt w:val="bullet"/>
      <w:lvlText w:val=""/>
      <w:lvlJc w:val="left"/>
      <w:pPr>
        <w:ind w:left="10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13" w:hanging="360"/>
      </w:pPr>
      <w:rPr>
        <w:rFonts w:ascii="Wingdings" w:hAnsi="Wingdings" w:hint="default"/>
      </w:rPr>
    </w:lvl>
  </w:abstractNum>
  <w:abstractNum w:abstractNumId="23" w15:restartNumberingAfterBreak="0">
    <w:nsid w:val="71AE7C31"/>
    <w:multiLevelType w:val="hybridMultilevel"/>
    <w:tmpl w:val="156C54B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73B12BC8"/>
    <w:multiLevelType w:val="hybridMultilevel"/>
    <w:tmpl w:val="C3169C32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7DE16461"/>
    <w:multiLevelType w:val="hybridMultilevel"/>
    <w:tmpl w:val="4C12C3D4"/>
    <w:lvl w:ilvl="0" w:tplc="E534A7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8"/>
  </w:num>
  <w:num w:numId="6">
    <w:abstractNumId w:val="10"/>
  </w:num>
  <w:num w:numId="7">
    <w:abstractNumId w:val="13"/>
  </w:num>
  <w:num w:numId="8">
    <w:abstractNumId w:val="14"/>
  </w:num>
  <w:num w:numId="9">
    <w:abstractNumId w:val="20"/>
  </w:num>
  <w:num w:numId="10">
    <w:abstractNumId w:val="23"/>
  </w:num>
  <w:num w:numId="11">
    <w:abstractNumId w:val="15"/>
  </w:num>
  <w:num w:numId="12">
    <w:abstractNumId w:val="18"/>
  </w:num>
  <w:num w:numId="13">
    <w:abstractNumId w:val="17"/>
  </w:num>
  <w:num w:numId="14">
    <w:abstractNumId w:val="0"/>
  </w:num>
  <w:num w:numId="15">
    <w:abstractNumId w:val="22"/>
  </w:num>
  <w:num w:numId="16">
    <w:abstractNumId w:val="16"/>
  </w:num>
  <w:num w:numId="17">
    <w:abstractNumId w:val="4"/>
  </w:num>
  <w:num w:numId="18">
    <w:abstractNumId w:val="9"/>
  </w:num>
  <w:num w:numId="19">
    <w:abstractNumId w:val="6"/>
  </w:num>
  <w:num w:numId="20">
    <w:abstractNumId w:val="1"/>
  </w:num>
  <w:num w:numId="21">
    <w:abstractNumId w:val="11"/>
  </w:num>
  <w:num w:numId="22">
    <w:abstractNumId w:val="12"/>
  </w:num>
  <w:num w:numId="23">
    <w:abstractNumId w:val="7"/>
  </w:num>
  <w:num w:numId="24">
    <w:abstractNumId w:val="21"/>
  </w:num>
  <w:num w:numId="25">
    <w:abstractNumId w:val="19"/>
  </w:num>
  <w:num w:numId="26">
    <w:abstractNumId w:val="3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870"/>
    <w:rsid w:val="000011DB"/>
    <w:rsid w:val="00021969"/>
    <w:rsid w:val="0002506F"/>
    <w:rsid w:val="00030180"/>
    <w:rsid w:val="00054917"/>
    <w:rsid w:val="00077FB3"/>
    <w:rsid w:val="00084C30"/>
    <w:rsid w:val="0008732C"/>
    <w:rsid w:val="00094870"/>
    <w:rsid w:val="000D13A0"/>
    <w:rsid w:val="000E1F87"/>
    <w:rsid w:val="000F635D"/>
    <w:rsid w:val="0010094B"/>
    <w:rsid w:val="0012420B"/>
    <w:rsid w:val="001B175E"/>
    <w:rsid w:val="001D7164"/>
    <w:rsid w:val="001E3143"/>
    <w:rsid w:val="0023574B"/>
    <w:rsid w:val="002437FA"/>
    <w:rsid w:val="00276385"/>
    <w:rsid w:val="0036312C"/>
    <w:rsid w:val="00373521"/>
    <w:rsid w:val="00376BAC"/>
    <w:rsid w:val="003844BE"/>
    <w:rsid w:val="00393B9B"/>
    <w:rsid w:val="003A321F"/>
    <w:rsid w:val="003B6385"/>
    <w:rsid w:val="003D4666"/>
    <w:rsid w:val="003F04FE"/>
    <w:rsid w:val="004410A4"/>
    <w:rsid w:val="004A781A"/>
    <w:rsid w:val="004D247C"/>
    <w:rsid w:val="005322BC"/>
    <w:rsid w:val="0054686D"/>
    <w:rsid w:val="00550590"/>
    <w:rsid w:val="00557B28"/>
    <w:rsid w:val="005774E9"/>
    <w:rsid w:val="005A6335"/>
    <w:rsid w:val="005F30B8"/>
    <w:rsid w:val="005F3C06"/>
    <w:rsid w:val="005F3EFC"/>
    <w:rsid w:val="005F42B6"/>
    <w:rsid w:val="00624443"/>
    <w:rsid w:val="006347A5"/>
    <w:rsid w:val="006568AF"/>
    <w:rsid w:val="006603F7"/>
    <w:rsid w:val="006656FE"/>
    <w:rsid w:val="00666035"/>
    <w:rsid w:val="006A2794"/>
    <w:rsid w:val="006A4B6E"/>
    <w:rsid w:val="006D610B"/>
    <w:rsid w:val="00711EC9"/>
    <w:rsid w:val="007324A2"/>
    <w:rsid w:val="007470CF"/>
    <w:rsid w:val="007A3174"/>
    <w:rsid w:val="007B1D43"/>
    <w:rsid w:val="00867D75"/>
    <w:rsid w:val="0087621B"/>
    <w:rsid w:val="008A790B"/>
    <w:rsid w:val="008B7EC5"/>
    <w:rsid w:val="00980B0A"/>
    <w:rsid w:val="009851E5"/>
    <w:rsid w:val="009C5AD0"/>
    <w:rsid w:val="00A06128"/>
    <w:rsid w:val="00A25C55"/>
    <w:rsid w:val="00A33F5A"/>
    <w:rsid w:val="00A476DE"/>
    <w:rsid w:val="00A965A9"/>
    <w:rsid w:val="00AC2C82"/>
    <w:rsid w:val="00B44CBA"/>
    <w:rsid w:val="00B51F0F"/>
    <w:rsid w:val="00BA3782"/>
    <w:rsid w:val="00BA7C2B"/>
    <w:rsid w:val="00BD1178"/>
    <w:rsid w:val="00BF1822"/>
    <w:rsid w:val="00C15B59"/>
    <w:rsid w:val="00C21D83"/>
    <w:rsid w:val="00C24F0C"/>
    <w:rsid w:val="00C26985"/>
    <w:rsid w:val="00C52D44"/>
    <w:rsid w:val="00C57FAF"/>
    <w:rsid w:val="00CE7092"/>
    <w:rsid w:val="00D73126"/>
    <w:rsid w:val="00D74934"/>
    <w:rsid w:val="00DF42B4"/>
    <w:rsid w:val="00DF7B75"/>
    <w:rsid w:val="00E24445"/>
    <w:rsid w:val="00E27987"/>
    <w:rsid w:val="00E40FD1"/>
    <w:rsid w:val="00E6346E"/>
    <w:rsid w:val="00EC4294"/>
    <w:rsid w:val="00F54850"/>
    <w:rsid w:val="00F75377"/>
    <w:rsid w:val="00FB2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7FEDBF96"/>
  <w15:docId w15:val="{17D32ED8-DE06-455B-9350-278279DDE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749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4686D"/>
    <w:pPr>
      <w:keepNext/>
      <w:keepLines/>
      <w:spacing w:before="200" w:after="0"/>
      <w:outlineLvl w:val="1"/>
    </w:pPr>
    <w:rPr>
      <w:rFonts w:eastAsiaTheme="majorEastAsia" w:cstheme="minorHAnsi"/>
      <w:b/>
      <w:bCs/>
      <w:color w:val="4F81BD" w:themeColor="accent1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219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749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D74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4934"/>
  </w:style>
  <w:style w:type="paragraph" w:styleId="Pieddepage">
    <w:name w:val="footer"/>
    <w:basedOn w:val="Normal"/>
    <w:link w:val="PieddepageCar"/>
    <w:uiPriority w:val="99"/>
    <w:unhideWhenUsed/>
    <w:rsid w:val="00D74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4934"/>
  </w:style>
  <w:style w:type="paragraph" w:styleId="Textedebulles">
    <w:name w:val="Balloon Text"/>
    <w:basedOn w:val="Normal"/>
    <w:link w:val="TextedebullesCar"/>
    <w:uiPriority w:val="99"/>
    <w:semiHidden/>
    <w:unhideWhenUsed/>
    <w:rsid w:val="00D74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4934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54686D"/>
    <w:rPr>
      <w:rFonts w:eastAsiaTheme="majorEastAsia" w:cstheme="minorHAns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BF1822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semiHidden/>
    <w:rsid w:val="0002196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orpsdetexte">
    <w:name w:val="Body Text"/>
    <w:basedOn w:val="Normal"/>
    <w:link w:val="CorpsdetexteCar"/>
    <w:unhideWhenUsed/>
    <w:rsid w:val="00021969"/>
    <w:pPr>
      <w:tabs>
        <w:tab w:val="left" w:pos="567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021969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NormalWeb">
    <w:name w:val="Normal (Web)"/>
    <w:basedOn w:val="Normal"/>
    <w:uiPriority w:val="99"/>
    <w:unhideWhenUsed/>
    <w:rsid w:val="0023574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0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24431-9BA6-472A-B78D-E99E14E7C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621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TRATO-TLV</Company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</dc:creator>
  <cp:lastModifiedBy>Olivier CABY</cp:lastModifiedBy>
  <cp:revision>3</cp:revision>
  <cp:lastPrinted>2015-05-05T13:33:00Z</cp:lastPrinted>
  <dcterms:created xsi:type="dcterms:W3CDTF">2023-08-09T14:33:00Z</dcterms:created>
  <dcterms:modified xsi:type="dcterms:W3CDTF">2023-08-10T08:59:00Z</dcterms:modified>
</cp:coreProperties>
</file>